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104 vom 20. September 2023</w:t>
      </w:r>
    </w:p>
    <w:p>
      <w:r>
        <w:t>VD Tribunal cantonal, 2023-09-20, FR</w:t>
      </w:r>
    </w:p>
    <w:p>
      <w:r>
        <w:rPr>
          <w:b/>
        </w:rPr>
        <w:t xml:space="preserve">Quelle: </w:t>
      </w:r>
      <w:r>
        <w:t>https://mcp.opencaselaw.ch/entscheid/vd_findinfo_Jug___2024___104</w:t>
      </w:r>
    </w:p>
    <w:p>
      <w:r>
        <w:t>FR: VD_FINDINFO Jug / 2024 / 104 du 20 septembre 2023</w:t>
      </w:r>
    </w:p>
    <w:p>
      <w:r>
        <w:t>IT: VD_FINDINFO Jug / 2024 / 104 del 20 settembre 2023</w:t>
      </w:r>
    </w:p>
    <w:p>
      <w:pPr>
        <w:pStyle w:val="Heading2"/>
      </w:pPr>
      <w:r>
        <w:t>Regeste</w:t>
      </w:r>
    </w:p>
    <w:p>
      <w:r>
        <w:t>AGGRAVATION DE LA PEINE, REJET DE LA DEMANDE, BRIGANDAGE | 140 ch. 3 CP, 115 al. 1 let. a LEI</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T.________ conteste en premier lieu sa condamnation pour infractions à loi fédérale sur les étrangers et l’intégration. Il soutient que les premiers juges ont constaté les faits de manière erronée en retenant qu’il n’avait déposé aucune demande d’asile entre le mois de juillet et le 18 septembre 2022. Il fait valoir qu’il a soumis une telle demande le 4 juillet 2022, qui a été rejetée par décision du Secrétariat d’Etat aux migrations du 14 octobre 2022 (P. 98/2/4). Invoquant une violation de l’art. 115 LEI, il soutient encore que pour juger si son séjour était légal, les premiers juges auraient dû se fonder non pas sur l’art. 17 LEI – comme ils l’auraient fait –, mais sur l’art. 42 LAsi, qui constitue une lex specialis .</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3.2.2</w:t>
      </w:r>
    </w:p>
    <w:p>
      <w:r>
        <w:t>Aux termes de l'art. 115 al. 1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Selon l’art. 5 al. 1 let. a LEI, pour entrer en Suisse, tout étranger doit : avoir une pièce de légitimation reconnue pour le passage de la frontière et être muni d’un visa si ce dernier est requis. L’art. 17 LEI, intitulé « Règlementation du séjour dans l’attente d’une décision » prévoit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w:t>
      </w:r>
    </w:p>
    <w:p>
      <w:r>
        <w:rPr>
          <w:b/>
        </w:rPr>
        <w:t>E. 3.2.3</w:t>
      </w:r>
    </w:p>
    <w:p>
      <w:r>
        <w:t>Selon l’art. 42 LAsi (loi sur l’asile du 26 juin 1998 ; RS 142.31), quiconque dépose une demande d’asile en Suisse peut y séjourner jusqu’à la clôture de la procédure. Dans un arrêt non publié (TF 6B_1061/2016 du 19 juillet 2017), le recourant ne contestait pas avoir réalisé les conditions de l'art. 115 al. 1 let. a LEtr, pour être entré en Suisse sans être porteur de documents d'identité. Il s'en prenait toutefois à sa condamnation du chef de prévention d'entrée illégale et y voyait une violation des art. 21 LAsi et de l'art. 31 de la Convention relative au statut des réfugiés (CR ; RS 0.142.30). Le TF a rejeté ce recours en rappelant que selon l'art. 31 ch. 1 CR, les Etats contractants n'appliquaient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 (consid. 1).</w:t>
      </w:r>
    </w:p>
    <w:p>
      <w:r>
        <w:rPr>
          <w:b/>
        </w:rPr>
        <w:t>E. 3.3</w:t>
      </w:r>
    </w:p>
    <w:p>
      <w:r>
        <w:t>; TF 6B_456/2015 du 21 mars 2016 consid. 2.1). En principe, si la surface disponible dépasse 4 m2, les conditions de détention ne sont pas illicites. 7.2.2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ème jour et justifie depuis lors une réduction. S’agissant de la prison vaudoise du Bois-Mermet, le Tribunal fédéral a précisé que, lors du calcul de la surface individuelle à disposition de chaque détenu, la surface des installations sanitaires se trouvant dans la cellule, qui peut être estimée à 1.5 m 2 , devait être retranchée (TF 1B_325/2017 précité consid. 3.2 ; TF 1B_70/2016 du 24 juin 2016 consid. 3.4). 7.3 Compte tenu de la confirmation de sa condamnation, il n’y a pas lieu de d’allouer à T.________ une indemnité pour tort moral en raison d’une détention injustifiée. Quant à la détention dans des conditions illicites, elle doit être compensée en nature par une réduction de la peine, et non par l’allocation d’une indemnité. En l’espèce, T.________ a été détenu à la Prison du Bois-Mermet dès le 22 novembre 2022. Le tribunal correctionnel a ordonné sa libération immédiate, dans son jugement du 20 septembre 2023, qui a été lu en audience publique le 25 septembre 2023. Du 22 novembre 2022 au 14 juin 2023, l’appelant a été détenu dans la cellule 256. La surface nette de cette cellule est de 9.34 m 2 , soit – après déduction de l’espace des sanitaires (cf. supra consid. 7.2.2) – une surface individuelle nette, de ([9.34 - 1.5] : 2) 3.92 m 2 . Puis, entre le 14 juin et le 25 septembre 2023, il a occupé la cellule 156 dont la surface nette est de 9.51 m 2 . En retranchant 1.5 m 2 pour les sanitaires, la surface individuelle disponible pour chaque détenu est de ([9.51 - 1.5] : 2) 4.005 m 2 . Il s’ensuit que c’est à bon droit que les premiers juges ont considéré que les conditions de détention n'avaient été illicites que jusqu'au 14 juin 2023, date à laquelle l’appelant avait changé de cellule, laquelle offrait, après déduction des sanitaires, une surface individuelle de plus de 4 m 2 . La date du 14 juin 2023 correspondait au transfert de l’appelant dans la cellule 156 et non pas à celle de la reddition du rapport de l’établissement pénitentiaire – qui a été établi le 11 juillet 2023 (P. 72). De plus, aucun des arrêts cités par l'appelant n’expose qu'il conviendrait de déduire 2 m 2 pour les installations sanitaires. La déduction de 1.5 m 2 est ainsi conforme à la jurisprudence précitée (cf. supra consid. 7.2.2). Dans la mesure où l’appelant n’a pas été incarcéré dans des conditions illicites après le 14 juin 2023, il ne peut se prévaloir d’aucun tort moral qui nécessiterait une réparation sous quelque forme que ce soit.</w:t>
      </w:r>
    </w:p>
    <w:p>
      <w:r>
        <w:rPr>
          <w:b/>
        </w:rPr>
        <w:t>E. 4.1.1</w:t>
      </w:r>
    </w:p>
    <w:p>
      <w:r>
        <w:t>T.________ conteste ensuite sa condamnation pour brigandage qualifié. Il fait valoir que les premiers juges auraient constaté les faits de manière erronée en retenant que la victime lui aurait remis une somme de 20 francs. Selon lui, cette appréciation ne reposerait que sur les déclarations du plaignant, lesquelles auraient fluctué puisqu'il avait dans un premier temps expliqué qu'il avait remis cette somme à U.________. L’appelant soutient que la version de la victime ne serait dès lors pas crédible, alors que, pour sa part, il aurait été constant, ayant toujours déclaré qu'il s'était bagarré avec le plaignant non pas pour lui dérober de l’argent, mais parce que celui-ci, ivre, injuriait sa mère et les passants et lui avait asséné des coups. Il était donc également faux de considérer, comme l'avaient fait les premiers juges, que ses déclarations avaient été « extrêmement fluctuantes ». Sa version des faits était vraisemblable, l'ivresse de la victime étant attestée par les pièces au dossier. L’appelant relève à cet égard que le plaignant lui-même se décrivait comme bagarreur et qu’on ne voyait pas pourquoi il s'en serait pris au plaignant « alors que c'est U.________ qui venait de lui réclamer les 20 francs ». De plus, sa version serait partiellement corroborée par les déclarations d’U.________. L’appelant reproche également aux premiers juges d’avoir constaté les faits de manière erronée en retenant que sa façon d'agir dénoterait une dangerosité particulière, qu’il aurait agi pour des motifs futiles et par appât du gain, et qu’il n'aurait pas collaboré en cours d'enquête, niant la plupart des faits qui lui étaient reprochés et variant dans ses déclarations. Invoquant une violation de l'art. 140 CP, il conteste la réalisation de l'élément subjectif de l'infraction. Il soutient qu’en vertu du principe in dubio pro reo , le tribunal de première instance ne pouvait pas retenir qu'il avait eu l'intention de voler les 20 francs. Selon lui, il conviendrait de retenir l'infraction de lésions corporelles simples, dès lors qu'il s'était battu avec la victime. De plus, il devrait être mis au bénéfice de la légitime défense excessive au sens de l'art. 16 al. 1 CP.</w:t>
      </w:r>
    </w:p>
    <w:p>
      <w:r>
        <w:rPr>
          <w:b/>
        </w:rPr>
        <w:t>E. 4.1.2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4.1.3</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(TF 65.203/2005 du 6 septembre 2005).</w:t>
      </w:r>
    </w:p>
    <w:p>
      <w:r>
        <w:rPr>
          <w:b/>
        </w:rPr>
        <w:t>E. 4.1.4</w:t>
      </w:r>
    </w:p>
    <w:p>
      <w:r>
        <w:t>Par opposition au complice, qui prête intentionnellement assistance à l'auteur pour commettre un crime ou un délit par une participation accessoire (art. 25 CP ; cf.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TF 6B_1035/2020 du 20 mai 2021 consid. 2.1.2).</w:t>
      </w:r>
    </w:p>
    <w:p>
      <w:r>
        <w:rPr>
          <w:b/>
        </w:rPr>
        <w:t>E. 4.1.5</w:t>
      </w:r>
    </w:p>
    <w:p>
      <w:r>
        <w:t>Il convient d'abord de constater que les trois phrases qui, selon l’appelant, seraient « erronées » ne relèvent pas des faits à proprement parler mais d’appréciations effectuées par les premiers juges, qui seront examinées dans le cadre de la qualification des faits et de la quotité de la peine (cf. infra consid. 4.4 et 5.2). En ce qui concerne les faits proprement dits du cas 6 de l’acte d’accusation (cf. supra consid. C.2.3), il faut les remettre dans leur contexte. Les deux prévenus et la victime, qui logeaient dans le même centre EVAM, avaient passé la journée du 16 septembre 2022 ensemble. Lors de son audition, le plaignant, blessé, a détaillé à la police le déroulement de la journée du 16 septembre 2022. S’agissant des faits retenus sous chiffre 5 de l’acte d’accusation (cf. supra consid. C.2.2), il a spontanément parlé du vol de l’enceinte, mettant en cause U.________, pour avoir commis un brigandage au moyen d’un couteau, et hors de cause l'appelant (PV 1, p. 3). Il a ensuite mis en cause les deux comparses pour le cas 6 ( idem ). De manière générale, U.________ a toujours nié l’intégralité des faits qui lui étaient reprochés, affirmant dans un premier temps ne pas connaître les deux hommes impliqués dans la présente cause et ne pas avoir été présent (PV 3, pp. 3-4). Sa version des faits est infirmée par les déclarations de T.________ et X.________, ce qui entache sérieusement sa crédibilité. Malgré ses dénégations, U.________ a néanmoins renoncé à interjeter appel contre le jugement du tribunal correctionnel. Quant à l'appelant, il a minimisé le rôle de son comparse – et par extension le sien dans le cas 6 – en exposant qu'il n'avait jamais vu de couteau jusqu'après l’altercation entre X.________ et U.________ (PV 2, pp. 5-6 ; PV 4, ll. 85-98). Les premiers juges ont estimé que le plaignant était crédible, n'ayant pas de raison d'incriminer le coprévenu ou de disculper du cas 5 l'appelant qu'il mettait en cause pour le cas 6 (jgt, p. 20). Ils ont en outre considéré que T.________ avait un intérêt à déclarer n'avoir pas vu de couteau, au vu de son implication dans le cas 6. Pour ces derniers faits, ils ont notamment observé que l'appelant avait admis qu'il y avait eu une dispute entre X.________ et U.________ au sujet d'une somme de 20 francs (PV 10, p. 2). Il importait donc peu de savoir à qui ce montant avait été remis, seul point sur lequel les déclarations de la victime avaient varié. L’appréciation des premiers juges ne prête pas le flanc à la critique. En effet, le plaignant est clair s'agissant du rôle de l'appelant. Il est manifestement sincère, s'étonnant même que ce dernier se soit « retourné contre » lui plutôt que contre le coprévenu (PV 8, p. 8). Il a reconnu avoir été bagarreur lorsqu'il était enfant, précisant qu'il s'était calmé depuis qu'il était majeur (PV 8, p. 7). Il n'a pas pris de conclusions civiles et ne s'est donc pas montré intéressé financièrement dans cette affaire. S'il est vrai que de manière générale, l'appelant a été plutôt constant sur son rôle lors de ses auditions successives, il n'en demeure pas moins que cela ne rend pas sa version plus crédible que celle de la victime. En effet, on ne peut pas imaginer qu'il ne s'était pas rendu compte du fait que son comparse poignardait la victime. Il a admis être resté avec lui après le cas 6, et même avoir ramassé la carte EVAM de la victime tombée à terre (PV 2, p. 8 ; PV 4, ll. 78-81) – carte avec laquelle l'intéressé gardait son argent. En revanche, il apparaît totalement invraisemblable que le plaignant ait injurié la mère de l'appelant alors que celui-ci tentait soi-disant de mettre fin à une dispute entre son coprévenu et la victime pour les 20 francs (PV 10, p. 3). Il est également totalement invraisemblable que la victime mente au sujet du rôle de l'appelant dès lors que, selon ce dernier, ils étaient de très bons amis. On ne discerne ainsi aucune constatation erronée des faits ou de violation de la présomption d’innocence dans le jugement entrepris. La Cour de céans retiendra dès lors les faits tels qu’ils ressortent de l’acte d’accusation, qui correspondent à la version de la victime. Dans la mesure où le prévenu a participé au vol des 20 fr. par la violence – peu importe qu’il s’y soit associé en cours d’exécution –, l'élément intentionnel de l'infraction est réalisé et la condamnation pour brigandage justifiée.</w:t>
      </w:r>
    </w:p>
    <w:p>
      <w:r>
        <w:rPr>
          <w:b/>
        </w:rPr>
        <w:t>E. 4.2.1</w:t>
      </w:r>
    </w:p>
    <w:p>
      <w:r>
        <w:t>L’appelant conteste la réalisation de la circonstance aggravante du caractère particulièrement dangereux de l'auteur retenue par les premiers juges (art. 140 ch. 3 CP). Il soutient qu’aucun élément du dossier ne permettrait de considérer que lui et U.________ auraient fait preuve d'une organisation, d'un professionnalisme ou d'une brutalité particulière. Il s'agirait plutôt d'une « sortie entre compagnons de fortune trop alcoolisée ayant mal tourné en raison de l'état éthylique des protagonistes ». Selon lui, il est insoutenable de considérer qu’il avait consenti à l’usage d'un couteau à l’encontre de la victime. Il a toujours expliqué qu'il ignorait que son coprévenu avait l’intention de frapper X.________ avec un couteau, et qu’il l'avait appris après les faits, ce qui l’avait choqué.</w:t>
      </w:r>
    </w:p>
    <w:p>
      <w:r>
        <w:rPr>
          <w:b/>
        </w:rPr>
        <w:t>E. 4.2.2</w:t>
      </w:r>
    </w:p>
    <w:p>
      <w:r>
        <w:t>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(TF 6B_305/2014 du 14 novembre 2014 consid. 1.1; ATF 117 IV 135 consid. Ia; ATF 116 IV 312 consid. 2d et e). Une mise en danger concrète de la victime suffit, sans qu'une lésion ne soit nécessaire. Si l'auteur d'un brigandage utilise l'arme dont il s'est muni pour commettre le brigandage, le cas relèvera de l'art. 140 ch. 3, voire 4 CP (Petit Commentaire du CP, n. 21 ad art. 140 CP). Le Tribunal fédéral a admis à plusieurs reprises que l'auteur qui ne se borne pas à porter sur lui une arme à feu, mais qui l'utilise en l'exhibant pour intimider autrui, agit de manière particulièrement dangereuse (TF 6B 305/2014 du 14 novembre 2014 consid. 1.1; ATF 120 IV 317 consid. 2a ; 118 IV 142 consid. 3b ; 117 IV 419 consid. 4b; TF 6B 988/2013 du 5 mai 2014 consid. 1.4.1). Une telle qualification doit ainsi en principe être retenue lorsqu'une arme chargée mais assurée ou non armée est dirigée par l'auteur vers la victime (ATF 117 IV 419 consid. 4c ; TF 6B_737/2009 du 28 janvier 2010 consid. 1.3.2). La brutalité de l'auteur n'est en revanche pas indispensable (ATF 116 IV 312 consid. 2e). L'implication de plusieurs auteurs est également une circonstance à prendre en considération dans la qualification de l'art. 140 ch. 3 CP (TF 6B 305/2014 du 14 novembre 2014 consid. 1.1; TF 6B_988/2013 du 5 mai 2014 consid. 1.4.1).</w:t>
      </w:r>
    </w:p>
    <w:p>
      <w:r>
        <w:rPr>
          <w:b/>
        </w:rPr>
        <w:t>E. 4.2.3</w:t>
      </w:r>
    </w:p>
    <w:p>
      <w:r>
        <w:t>En l’occurrence, la Cour de céans considère, avec les premiers juges, que la circonstance aggravante de l’auteur particulièrement dangereux est réalisée. En effet, l’appelant et son comparse ont fait usage d'un couteau et ont infligé trois blessures à la victime pour la maigre somme de 20 francs. La victime a souffert d’importantes blessures au niveau du fessier gauche, du pli inter-fessier gauche ainsi que du mollet gauche (P. 40). Les conséquences des coups de couteau auraient pu être bien plus graves si le lésé ne s’était pas débattu. En tout état de cause, le fait que le prévenu n'ait pas lui-même porté les coups de couteau importe peu. Il a admis avoir fait tomber et frappé à coups de poing la victime (PV 2, p. 5 ; PV 4, ll. 73-77 ; PV 10, ll. 41-42), aidant ainsi son comparse et s'associant à sa démarche, fuyant avec lui après avoir délesté la victime de ses 20 francs. La maigreur du butin démontre que les prévenus sont capables de faire preuve d'une grande violence même pour obtenir peu d'argent. L'absence de scrupules, la facilité du passage à l'acte, l'impulsivité, l'absence d'égards pour une personne connue dont a fait preuve l’appelant, dénotent un caractère particulièrement dangereux au sens de l'art. 140 ch. 3 CP. C’est donc en vain que l’appelant excipe d’un défaut de professionnalisme ou de perfidie. La brutalité crasse dont les prévenus ont fait preuve suffit largement pour tenir la circonstance aggravante comme réalisée. Il s’ensuit que la condamnation de l’appelant pour brigandage qualifié doit être confirmée, les éléments constitutifs objectifs et subjectifs en étant réalisés.</w:t>
      </w:r>
    </w:p>
    <w:p>
      <w:r>
        <w:rPr>
          <w:b/>
        </w:rPr>
        <w:t>E. 5.1</w:t>
      </w:r>
    </w:p>
    <w:p>
      <w:r>
        <w:t>Fondé sur la prémisse de son acquittement des chefs de prévention de brigandage qualifié et d’infractions à la loi fédérale sur les étrangers et l’intégration, ainsi que sur son absence d’antécédents, l’appelant conteste tant la nature que la quotité de la peine privative de liberté prononcée par les premiers juges. Il conclut au prononcé d’une peine pécuniaire assortie du sursis.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6B_631/2021 du 7 février 2022 consid. 1.1).</w:t>
      </w:r>
    </w:p>
    <w:p>
      <w:r>
        <w:rPr>
          <w:b/>
        </w:rPr>
        <w:t>E. 5.2.2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6B_529/2019 du 5 juin 2019 consid. 3.1 ; TF 6B_1227/2015 du 29 juillet 2016 consid. 1.2.1).</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w:t>
      </w:r>
    </w:p>
    <w:p>
      <w:r>
        <w:rPr>
          <w:b/>
        </w:rPr>
        <w:t>E. 5.3</w:t>
      </w:r>
    </w:p>
    <w:p>
      <w:r>
        <w:t>En l’espèce, T.________ s’est rendu coupable de brigandage qualifié et d’entrée illégale. Les premiers juges ont considéré à juste titre que la culpabilité de l’appelant était importante et la Cour de céans fait sienne leur appréciation. A charge, il faut tenir compte de la gravité du brigandage auquel il a pris part eu égard aux sérieuses blessures qui ont été infligées à X.________ pour la maigre somme de 20 francs. Son attitude, consistant à minimiser les faits qui lui sont reprochés et la légèreté avec laquelle il s’en est pris à l’intégrité physique d’une connaissance, laisse penser que T.________ banalise la violence. C’est donc à juste titre que les premiers juges ont retenu que l’appelant avait agi pour des motifs futiles et par appât du gain. A décharge, on tiendra compte de la situation personnelle précaire de l’appelant. Son absence d’antécédents a un effet neutre sur la peine. L’infraction la plus grave est le brigandage qualifié, qui justifie à elle seule le prononcé d’une peine privative de liberté de 30 mois. Les effets du concours conduisent à l’augmentation de cette peine de base d’un mois pour réprimer l’infraction à la loi fédérale sur les étrangers et l’intégration. En définitive, la peine privative de liberté qui devrait sanctionner les agissements du prévenu devrait être arrêtée à 31 mois. Néanmoins, dans la mesure où la quotité de la sanction prononcée par le Tribunal correctionnel ne peut pas être augmentée sous peine de violer le principe de l’interdiction de la reformatio in pejus , la peine privative de liberté prononcée par les premiers juges doit être confirmée. La quotité de cette peine est incompatible avec l’octroi d’un sursis complet (art. 42 CP), mais permet en revanche l’octroi d’un sursis partiel pour les motifs pertinents retenus par les premiers juges. Au vu de la gravité des faits reprochés à l’appelant et de l’absence de remords manifestée, la durée du délai d’épreuve doit être portée au maximum légal de cinq ans, et la partie ferme à exécuter doit être fixée à treize mois.</w:t>
      </w:r>
    </w:p>
    <w:p>
      <w:r>
        <w:rPr>
          <w:b/>
        </w:rPr>
        <w:t>E. 6.1</w:t>
      </w:r>
    </w:p>
    <w:p>
      <w:r>
        <w:t>L’appelant, qui plaide notamment sa libération du chef de prévention de brigandage qualifié, conteste l’expulsion prononcée à son encontre.</w:t>
      </w:r>
    </w:p>
    <w:p>
      <w:r>
        <w:rPr>
          <w:b/>
        </w:rPr>
        <w:t>E. 6.2.1</w:t>
      </w:r>
    </w:p>
    <w:p>
      <w:r>
        <w:t>Aux termes de l'art. 66a al. 1 let. c CP, le juge expulse de Suisse l'étranger qui est notamment condamné pour brigandage (art. 140 CP) pour une durée de cinq à quinze ans, quelle que soit la quotité de la peine prononcée à son encontre.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rPr>
          <w:b/>
        </w:rPr>
        <w:t>E. 6.2.2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w:t>
      </w:r>
    </w:p>
    <w:p>
      <w:r>
        <w:rPr>
          <w:b/>
        </w:rPr>
        <w:t>E. 6.3</w:t>
      </w:r>
    </w:p>
    <w:p>
      <w:r>
        <w:t>En l’espèce, la condamnation de l’appelant pour brigandage qualifié étant confirmée, celui-ci remplit les conditions d’une expulsion obligatoire, sous réserve d’une application de l’art. 66a al. 2 CP. L’appelant a grandi en [...], où vit sa seule famille. Il n’est arrivé en Suisse qu’en juillet 2022. Il n’est pas intégré dans ce pays, avec lequel il n’a aucune attache. Il n’est au bénéfice d’aucun titre de séjour et n’exerce aucune activité lucrative. Par ailleurs, sa demande d’asile ayant été rejetée, il n’a aucune perspective d’intégration en Suisse. Il a expliqué souhaiter rester en Suisse afin de soigner une main blessée. Or, il peut bénéficier de soins dans son pays d’origine. Il ne fait d’ailleurs valoir aucun risque particulier à y retourner, de sorte que son expulsion ne le placera manifestement pas dans une situation personnelle grave. En effet, rien ne permet de supposer qu’il rencontrerait des difficultés à s’insérer socialement et professionnellement en [...]. L’expulsion de l’appelant constitue donc une mesure proportionnée compte tenu de son absence d’attaches particulières avec la Suisse, de la gravité des infractions retenues et de la dangerosité qu’il représente. L’appel de T.________ doit ainsi être rejeté sur ce point et son expulsion du territoire suisse pour huit ans, ainsi que l’inscription de celle-ci au Système d’information Schengen (SIS), confirmée. 7. 7.1 Se fondant sur la prémisse qu’il serait acquitté, l’appelant requiert l’allocation d’une indemnité de 74'400 fr. pour détention injustifiée au sens des art. 429 al. 1 let. c CPP et 431 al. 1 CPP. Il sollicite également le versement d’une indemnité de 18'600 fr. à titre de réparation du tort moral pour les jours de détention subis dans des conditions illicites. A cet égard, il renvoie à son écriture du 19 septembre 2023 (P. 86). En ce qui concerne les conditions illicites, il fait en particulier valoir que les premiers juges auraient déduit une surface insuffisante pour les sanitaires, à savoir 1.5 m 2 au lieu des 2 m 2 requis par la jurisprudence. De plus, ils auraient, à tort, arrêté leur calcul au 14 juin 2023, date du rapport de la direction du Bois-Mermet, alors que la situation aurait perduré jusqu'à sa libération le 25 septembre 2023. 7.2 7.2.1 Pour que les conditions matérielles de détention atteignent un niveau d’humiliation ou d’avilissement suffisant pour emporter une violation de l’art. 3 CEDH (Convention de sauvegarde des droits de l’homme et des libertés fondamentales du 4 novembre 1950 ; RS 0.101),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w:t>
      </w:r>
    </w:p>
    <w:p>
      <w:r>
        <w:rPr>
          <w:b/>
        </w:rPr>
        <w:t>E. 8</w:t>
      </w:r>
    </w:p>
    <w:p>
      <w:r>
        <w:t>Il résulte de ce qui précède que l’appel doit être partiellement admis en ce sens que T.________ est libéré du chef de prévention de séjour illégal.</w:t>
      </w:r>
    </w:p>
    <w:p>
      <w:r>
        <w:rPr>
          <w:b/>
        </w:rPr>
        <w:t>E. 8.1</w:t>
      </w:r>
    </w:p>
    <w:p>
      <w:r>
        <w:t>Le défenseur d’office de T.________, Me Elodie Gallarotti, a produit une liste d’opérations faisant état de 6.27 heures d’activité d’avocate au tarif horaire de 180 fr., ainsi que d’une vacation. Il n’y a pas lieu de s’écarter de cette liste d’opérations, sous réserve de la durée de l’audience, estimée à trois heures par l’avocate, qui sera réduite à 45 minutes pour tenir compte du temps effectif des débats d’appel. L’indemnité de défenseur d’office de Me Elodie Gallarotti pour la procédure d’appel sera par conséquent fixée à 1ʹ128 fr. 60 (6.27h x 180 fr.), plus des débours forfaitaires à concurrence de 2 % (art. 3bis al. 1 RAJ applicable par renvoi de l’art. 26b TFIP [Tarif des frais de procédure et indemnités en matière pénale du 28 septembre 2010 ; BLV 312.03.1]), par 22 fr. 57, et la TVA à 7,7 %, par 88 fr. 64, soit à un total de 1’239 fr. 80 pour les opérations effectuées jusqu’au 31 décembre 2023, et à 919 fr. 80 (5.11h x 180 fr.), plus les débours forfaitaires à concurrence de 2 %, par 18 fr. 40, une vacation, par 120 fr., et la TVA à 8,1 %, par 85 fr. 71, soit à un total de 1ʹ143 fr. 90, pour les opérations effectuées depuis le 1 er janvier 2024. Au total, l’indemnité due sera donc fixée à 2'383 fr. 70 (1ʹ239 fr. 80 + 1ʹ143 fr. 90), TVA et débours inclus.</w:t>
      </w:r>
    </w:p>
    <w:p>
      <w:r>
        <w:rPr>
          <w:b/>
        </w:rPr>
        <w:t>E. 8.2</w:t>
      </w:r>
    </w:p>
    <w:p>
      <w:r>
        <w:t>Vu l’issue de la cause, les frais de la procédure d’appel, par 5'533 fr. 70, constitués en l’espèce de l'émolument de jugement, par 2’750 fr. (art. 21 al. 1 et 2 TFIP), ainsi que de l’indemnité allouée au défenseur d’office, par 2'383 fr. 70, seront mis par quatre cinquièmes, soit par 4’427 fr. en chiffres arrondis, à la charge de T.________, qui succombe dans une très large mesure, le solde étant laissé à la charge de l’Etat (art. 428 al. 1 CPP). T.________ sera tenu de rembourser à l’Etat les quatre cinquièmes de l’indemnité allouée à son défenseur d’office ci-dessus, soit 1'907 fr. en chiffres arrondis, lorsque sa situation financière le permettra (art. 135 al. 4 let. a CPP).</w:t>
      </w:r>
    </w:p>
    <w:p>
      <w:r>
        <w:rPr>
          <w:b/>
        </w:rPr>
        <w:t>E. 9</w:t>
      </w:r>
    </w:p>
    <w:p>
      <w:r>
        <w:t>Il convient en dernier lieu de relever que le dispositif du jugement notifié le 2 février 2024 est erroné. Il sera dès lors rectifié d’office aux chiffres I, II, II.IX, II.X, IV et V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