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92 vom 8. Juli 2022</w:t>
      </w:r>
    </w:p>
    <w:p>
      <w:r>
        <w:t>VD Tribunal cantonal, 2022-07-08, FR</w:t>
      </w:r>
    </w:p>
    <w:p>
      <w:r>
        <w:rPr>
          <w:b/>
        </w:rPr>
        <w:t xml:space="preserve">Quelle: </w:t>
      </w:r>
      <w:r>
        <w:t>https://mcp.opencaselaw.ch/entscheid/vd_findinfo_Jug___2023___92</w:t>
      </w:r>
    </w:p>
    <w:p>
      <w:r>
        <w:t>FR: VD_FINDINFO Jug / 2023 / 92 du 8 juillet 2022</w:t>
      </w:r>
    </w:p>
    <w:p>
      <w:r>
        <w:t>IT: VD_FINDINFO Jug / 2023 / 92 del 8 luglio 2022</w:t>
      </w:r>
    </w:p>
    <w:p>
      <w:pPr>
        <w:pStyle w:val="Heading2"/>
      </w:pPr>
      <w:r>
        <w:t>Regeste</w:t>
      </w:r>
    </w:p>
    <w:p>
      <w:r>
        <w:t>APPRÉCIATION DES PREUVES, PRÉSOMPTION D'INNOCENCE, ESCROQUERIE, FIXATION DE LA PEINE, PERCEPTION ABUSIVE DE PRESTATIONS DE L'AIDE SOCIALE, SURSIS À L'EXÉCUTION DE LA PEINE, PEINE PÉCUNIAIRE, EXPULSION{DROIT PÉNAL}, FRAIS DE LA PROCÉDURE | 146 CP, 34 CP, 42 CP, 47 CP, 66a CP, 10 al. 2 CPP (CH), 426 al. 2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du Ministère public est recevable.</w:t>
      </w:r>
    </w:p>
    <w:p>
      <w:r>
        <w:rPr>
          <w:b/>
        </w:rPr>
        <w:t>E. 1.1</w:t>
      </w:r>
    </w:p>
    <w:p>
      <w:r>
        <w:t>; TF 6B_886/2018 du 31 octobre 2018 consid. 2.1.1).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2.1</w:t>
      </w:r>
    </w:p>
    <w:p>
      <w:r>
        <w:t>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 Loi fédérale du 30 mars 1911 complétant le Code civil suisse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6B_1399/2019 du 5 mars 2020 consid.</w:t>
      </w:r>
    </w:p>
    <w:p>
      <w:r>
        <w:rPr>
          <w:b/>
        </w:rPr>
        <w:t>E. 3.1</w:t>
      </w:r>
    </w:p>
    <w:p>
      <w:r>
        <w:t>Invoquant une appréciation erronée des preuves et une violation de l’art. 10 al. 2 CPP, le Ministère public reproche au premier juge d’avoir examiné chaque élément un par un pour conclure qu’aucun n’était formellement probant, au lieu d’apprécier les éléments à sa disposition dans leur globalité. Il fait valoir que le dossier comprendrait de très nombreux éléments indiquant que le prévenu aurait manifestement trompé le Centre social régional (ci-après : CSR) en se constituant un domicile fictif à O.________ dans le but de toucher une aide à laquelle il n’avait pas droit, qui auraient dû amener le premier juge à retenir les faits reprochés au prévenu comme établis.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3.2.2</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 ATF 135 IV 76 précité ; TF 6B_613/2020 du 17 septembre 2020 consid. 1.2.1).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w:t>
      </w:r>
    </w:p>
    <w:p>
      <w:r>
        <w:rPr>
          <w:b/>
        </w:rPr>
        <w:t>E. 3.3</w:t>
      </w:r>
    </w:p>
    <w:p>
      <w:r>
        <w:t>S’agissant du domicile fictif que le Ministère public reproche au prévenu de s’être constitué à O.________ auprès de feue A.________, le Tribunal de police a en substance considéré que l’on ne pouvait pas prendre en compte le témoignage de la bailleresse, qui aurait indiqué à l’enquêteur du CSR que G.________ n’aurait jamais résidé sur place, seule une étiquette autocollante portant son nom ayant été apposée à la demande de celui-ci sur la boîte aux lettres, car le prévenu n’avait jamais été confronté à cette mise en cause et dans la mesure où feue A.________ avait peut-être un intérêt à taire le fait qu’elle avait un locataire, de peur de perdre le subside de son assurance-maladie. Le premier juge a par ailleurs estimé, quand bien même l’enquêteur du CSR avait mentionné sur le contrat de bail que feue A.________ n’avait pas reconnu sa signature lors de la visite domiciliaire, qu’aucun élément ne permettait de retenir que la bailleresse n’avait pas signé le bail litigieux, une telle affirmation de la part de la bailleresse n’étant pas surprenante si l’on admettait la thèse du prévenu selon laquelle celle-ci souhaitait dissimuler l’existence de revenus locatifs. Il a en outre considéré que les pièces au dossier ne permettaient pas d’affirmer que la maison propriété de feue A.________ ne comportait qu’un niveau, en dépit des constatations de l’enquêteur du CSR qui s’était rendu sur place, et a estimé que la surveillance mise en place par le CSR ne permettait pas davantage de dire que le prévenu n’habitait pas dans ce logement, dès lors qu’on ignorait à quel moment et selon quelles modalités s’étaient déroulées lesdites observations. Quant aux prélèvements bancaires, majoritairement effectués dans le district de la Veveyse, ils ne démontraient rien, le prévenu ayant expliqué que son centre de vie était demeuré dans cette région, où résidaient ses enfants et ses connaissances. S’il est vrai que les déclarations de feue A.________ ne constituent pas formellement un témoignage et que le rapport final du CSR du 23 mars 2017 ne mentionne pas les dates, les heures et les modalités de chacune des surveillances effectuées, il n’en demeure pas moins qu’il s’agit de moyens de preuve dont il y a lieu d’apprécier librement la valeur probante. Cela étant, force est de constater en l’espèce que le rapport du CSR, même s’il ne permet pas de savoir en détail à quels moments la surveillance a été effectuée, est accablant pour le prévenu, et cela même si l’on ne tient pas compte des déclarations de sa bailleresse. Le contrat de bail, outre qu’il reproduise de manière erronée le nom de la bailleresse, est en outre insolite. Celui-ci est en effet rédigé par le locataire lui-même et indique une garantie de loyer dont le montant global ne correspond pas à trois loyers, ni même à deux loyers. L’on peut de surcroît inférer des relevés bancaires au dossier que cette garantie de loyer n’a jamais été payée, aucun débit de 1'420 fr. n’y figurant. Par ailleurs, ces relevés bancaires ne font état d’aucun retrait ou virement correspondant au montant du loyer, soit 720 francs. A cet égard, il y a lieu de souligner que les relevés des mois de mai et de septembre 2016 n’indiquent aucun retrait supérieur à 500 fr., alors que le prévenu a encore affirmé aux débats d’appel qu’il payait le loyer régulièrement de la main à la main, lorsqu’il recevait son salaire. En outre, si un retrait de 1'131 fr. 50 figure bien sur le relevé du mois de septembre 2016, il s’agit d’un retrait effectué en euros. L’absence de versement du loyer à la bailleresse accrédite ainsi les propos de celle-ci, selon lesquels le prévenu n’habitait pas chez elle. En outre, le prévenu a lui-même indiqué sur un bulletin de versement du 13 avril 2016 qu’il vivait à K.________, appartement dont il a tu au CSR être le propriétaire et sur la boîte aux lettres et la sonnette duquel figurait toujours son nom. Par ailleurs, si les photographies de la maison produites aux débats d’appel tendent à démontrer qu’il y aurait eu une entrée séparée et deux demi-niveaux, il n’en demeure pas moins que les neuf surveillances et les plus de cinquante contrôles effectués par le CSR à l’adresse de feue A.________ à O.________ n’ont jamais permis d’y localiser le prévenu, ni son véhicule. Celui-ci a en revanche été vu à une occasion sonner à la porte de sa bailleresse, ce qui tend à démontrer qu’il n’avait pas la clé de la maison. On peine en outre à comprendre les explications du prévenu, qui affirme qu’il garait son véhicule à 500 mètres de la maison et qu’il sonnait à la porte de sa bailleresse pour ne pas éveiller les soupçons du voisinage et des invités, alors que son nom figurait de manière bien visible sur la boîte aux lettres. Ses explications quant à l’utilisation par son ex-compagne de sa carte bancaire dans le district de la Veveyse pour y effectuer des retraits ne convainquent pas non plus, dès lors que le prévenu affirme par ailleurs que celle-ci lui versait un loyer de 500 fr. pour l’appartement de K.________ qu’elle continuait d’habiter. Enfin, la défense soutient que l’enquêteur du CSR serait passé à côté d’une surface de 20 m 2 , laquelle était justement celle louée par le prévenu à feue A.________, ce qui signifierait que G.________ aurait accepté de louer une chambre de 20 m 2 à son amie pour un montant de 720 fr. par mois, soit un montant excessivement élevé pour un logement d’une telle superficie à O.________, sans salle de bain et sans cuisine indépendantes, et sans possibilité de se garer à proximité. Compte tenu de l’ensemble de ces éléments, le doute nourri par le premier juge n’est pas raisonnable. En effet, si l’appréciation de chacune des preuves au dossier permettrait éventuellement de conclure que les explications du prévenu ne sont pas invraisemblables, l’appréciation des éléments dans leur globalité ne permet pas de nourrir des doutes sérieux et irréductibles quant à la culpabilité de G.________, mais emporte au contraire la conviction de la Cour de céans quant au fait qu’il s’est bien rendu coupable des faits qui lui sont reprochés. Au vu de l’ensemble de ces éléments, il existe en effet des indices suffisants pour écarter tout doute raisonnable et fonder la conviction de la Cour de céans quant au fait que le prévenu a bel et bien faussement déclaré au CSR qu’il résidait à O.________, dans le but de toucher des prestations de l’aide sociale auxquelles il n’avait pas droit. En affirmant faussement au CSR qu’il occupait un logement lui coûtant 720 fr. par mois sur la base d’un contrat de bail qui ne correspondait pas à la réalité, obtenant ainsi des prestations indues à hauteur de 6'745 fr. 70 pour la période allant du mois d’avril au mois d’octobre 2016, l’intimé a adopté un comportement astucieux dont la dupe ne pouvait pas se protéger, dès lors qu’on ne discerne pas quelles autres vérifications le CSR aurait pu entreprendre au moment de décider d’octroyer l’aide sollicitée. G.________ doit donc être reconnu coupable d’escroquerie et l'appel du Ministère public admis dans cette mesure.</w:t>
      </w:r>
    </w:p>
    <w:p>
      <w:r>
        <w:rPr>
          <w:b/>
        </w:rPr>
        <w:t>E. 4.1</w:t>
      </w:r>
    </w:p>
    <w:p>
      <w:r>
        <w:t>Dans sa déclaration d’appel, le Ministère public soutient que le fait pour le prévenu d’avoir dissimulé au CSR la propriété de son appartement de K.________ et le compte sur lequel étaient prélevés les intérêts concernant cet appartement serait également constitutif d’escroquerie, dès lors qu’aucun élément ne pouvait laisser deviner au CSR qu’il disposait d’une fortune. Aux débats d’appel, le Ministère public a toutefois renoncé à ce pan de l’accusation.</w:t>
      </w:r>
    </w:p>
    <w:p>
      <w:r>
        <w:rPr>
          <w:b/>
        </w:rPr>
        <w:t>E. 4.2</w:t>
      </w:r>
    </w:p>
    <w:p>
      <w:r>
        <w:t>Il peut être renvoyé au considérant 3.2.2 ci-dessus s’agissant des éléments constitutifs de l’escroquerie.</w:t>
      </w:r>
    </w:p>
    <w:p>
      <w:r>
        <w:rPr>
          <w:b/>
        </w:rPr>
        <w:t>E. 4.3</w:t>
      </w:r>
    </w:p>
    <w:p>
      <w:r>
        <w:t>Le Tribunal de police a libéré le prévenu de ce volet de l’incrimination pénale pour le motif qu’il n’avait pas adopté un comportement astucieux. En l’espèce, quand bien même le prévenu n’a pas déclaré l’existence de cette propriété et du compte bancaire servant au paiement des intérêts hypothécaires dudit bien dans sa demande d’octroi du revenu d’insertion, il y a lieu de constater qu’il a néanmoins produit à l’appui de sa requête son avis de taxation 2014, qui mentionne une fortune de 203'000 fr. en lien avec la propriété d’un immeuble privé. En se contentant des explications fournies par le requérant sans même vérifier le contenu de sa déclaration fiscale, laquelle lui aurait permis de mettre en évidence l’existence de l’immeuble litigieux, le CSR a fait preuve de négligence. C’est donc à juste titre que le premier juge a libéré le prévenu du chef de prévention d’escroquerie pour ce volet, faute de comportement astucieux.</w:t>
      </w:r>
    </w:p>
    <w:p>
      <w:r>
        <w:rPr>
          <w:b/>
        </w:rPr>
        <w:t>E. 5</w:t>
      </w:r>
    </w:p>
    <w:p>
      <w:r>
        <w:t>Le prévenu étant reconnu coupable d’escroquerie, il convient de fixer la peine.</w:t>
      </w:r>
    </w:p>
    <w:p>
      <w:r>
        <w:rPr>
          <w:b/>
        </w:rPr>
        <w:t>E. 5.1</w:t>
      </w:r>
    </w:p>
    <w:p>
      <w:r>
        <w:t>Le Ministère public conclut au prononcé d’une peine pécuniaire de 60 jours-amende à 30 fr. le jour avec sursis pendant trois ans, ainsi que d’une amende de 450 fr. convertible en 15 jours de peine privative de liberté de substitution en cas de non-paiement fautif dans le délai imparti.</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5.2.2</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dans sa teneur en vigueur depuis le 1 er janvier 2018, prévoit que si, durant les cinq ans qui précèdent l’infraction, l’auteur a été condamné à une peine privative de liberté ferme ou avec sursis de plus de six mois, il ne peut y avoir de sursis à l’exécution de la peine qu’en cas de circonstances particulièrement favorables. Avant le 1 er janvier 2018, l’art. 42 al. 2 aCP fixait le seuil à partir duquel seules des circonstances particulièrement favorables étaient susceptibles de justifier un sursis, à une peine privative de liberté ferme ou avec sursis de six mois au moins ou à une peine pécuniaire de 180 jours-amende au moins.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(Dupuis et al. [éd.], Petit Commentaire, Code pénal, 2 e éd., Bâle 2017, n. 2 ad art. 44 CP).</w:t>
      </w:r>
    </w:p>
    <w:p>
      <w:r>
        <w:rPr>
          <w:b/>
        </w:rPr>
        <w:t>E. 5.2.3</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Il 297 précité). 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 er janvier 2018, dispose que, « sauf disposition contraire, la peine pécuniaire est de trois jours-amende au moins et ne peut excéder 180 jours-amende. Le juge fixe leur nombre en fonction de la culpabilité de l'auteur » (RO 2016 1249 ; FF 2012 p. 4385). La loi sur la réforme du droit des sanctions ne prévoit pas de règles particulières sur le droit transitoire (FF 2012 p. 4385 ; ATF 147 IV 241 consid. 4.2.1 ; TF 6B_433/2021 du 22 décembre 2021 consid. 2.2.1).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précité consid. 3). Le nouvel art. 34 CP, qui prévoit que la peine pécuniaire est de trois jours au moins et ne peut pas excéder 180 jours-amende, rend plus sévère le régime des peines, dans la mesure où il réduit le champ d'application de la peine pécuniaire et étend en conséquence celui de la peine privative de liberté (ATF 147 IV 241 précité consid. 4).</w:t>
      </w:r>
    </w:p>
    <w:p>
      <w:r>
        <w:rPr>
          <w:b/>
        </w:rPr>
        <w:t>E. 5.3</w:t>
      </w:r>
    </w:p>
    <w:p>
      <w:r>
        <w:t>La culpabilité de l’appelant n’est pas anodine. Celui-ci s’est constitué, notamment au moyen d’un bail à loyer qui ne correspondait pas à la réailté, un domicile fictif dans le but de toucher des prestations de l’aide sociale, auxquelles il n’aurait pas eu droit si le CSR avait eu connaissance de sa situation réelle. Il a ainsi perçu des prestations pour un montant de 6'745 fr. 70 sur une période de sept mois. En outre, il n’a fait preuve d’aucune remise en question. A décharge, il y a lieu de tenir compte du remboursement intégral de l’indu, quand bien même il n’est pas intervenu de manière spontanée, mais a été ponctionné sur le rétroactif de la rente de l’assurance-invalidité. Une peine pécuniaire paraît suffisante en l’espèce pour déployer l’effet préventif escompté. Au vu de la culpabilité du prévenu, une peine de 40 jours-amende est adéquate. Les faits retenus à son encontre s’étant déroulés entre les mois d’avril et d’octobre 2016, soit antérieurement au 1 er janvier 2018, l’ancien droit s’applique, dès lors que la nouvelle loi ne lui est pas plus favorable en l’espèce. Compte tenu de la situation personnelle et financière du prévenu, le montant du jour-amende sera fixé à 30 francs. Le sursis sera octroyé au prévenu. En effet, quand bien même celui-ci a déjà été condamné en 2014, les faits n’étaient pas en lien avec une escroquerie à l’aide sociale et ont été sanctionnés par une peine de travail d’intérêt général avec sursis, de sorte que cet antécédent ne permet pas à lui seul de poser un pronostic défavorable quant à son comportement futur, que ce soit selon l’ancien ou selon le nouveau droit. Pour tenir néanmoins compte de cet antécédent et offrir la plus grande probabilité qu’il ne récidive pas, le délai d’épreuve sera fixé à trois ans.</w:t>
      </w:r>
    </w:p>
    <w:p>
      <w:r>
        <w:rPr>
          <w:b/>
        </w:rPr>
        <w:t>E. 6</w:t>
      </w:r>
    </w:p>
    <w:p>
      <w:r>
        <w:t>L’intimé est reconnu coupable d’escroquerie à l’aide sociale au sens de l’art. 146 al. 1 CP, infraction qui fait l’objet d’une expulsion obligatoire au sens de l’art. 66a al. 1 let. e CP. Toutefois, dans la mesure où l’on ne saurait tenir compte des faits commis avant le 1 er octobre 2016, date de l'entrée en vigueur de l'art. 66a CP, il n’y a pas lieu d’expulser G.________ du territoire suisse.</w:t>
      </w:r>
    </w:p>
    <w:p>
      <w:r>
        <w:rPr>
          <w:b/>
        </w:rPr>
        <w:t>E. 7.1</w:t>
      </w:r>
    </w:p>
    <w:p>
      <w:r>
        <w:t>Le Ministère public conclut à ce que les frais de première instance soient mis à la charge de l’intimé.</w:t>
      </w:r>
    </w:p>
    <w:p>
      <w:r>
        <w:rPr>
          <w:b/>
        </w:rPr>
        <w:t>E. 7.2.1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7.2.2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w:t>
      </w:r>
    </w:p>
    <w:p>
      <w:r>
        <w:rPr>
          <w:b/>
        </w:rPr>
        <w:t>E. 7.3</w:t>
      </w:r>
    </w:p>
    <w:p>
      <w:r>
        <w:t>En l’espèce, l’intimé est condamné pour escroquerie pour avoir faussement déclaré au CSR qu’il résidait à O.________. En revanche, sa libération du chef de prévention d’escroquerie pour ne pas avoir déclaré l’existence de sa propriété de K.________ aux services sociaux est confirmée. Cela étant, quand bien même ce second volet ne reçoit pas de réponse pénale, faute d’astuce, le prévenu a failli à son obligation de mentionner, dans sa demande de prestations sociales, l’ensemble de ses revenus et de sa fortune, conformément à l’art. 38 al. 1 LASV (Loi du 2 décembre 2003 sur l'action sociale vaudoise ; BLV 850.051). C’est donc une faute de sa part qui est à l’origine de l’action pénale. Partant, quand bien même sa libération du chef de prévention d’escroquerie est confirmée s’agissant de ce pan de l’accusation, il y a lieu de mettre l’entier des frais de la procédure de première instance, qui comprennent l’indemnité due à son défenseur d’office, à la charge de l’intimé.</w:t>
      </w:r>
    </w:p>
    <w:p>
      <w:r>
        <w:rPr>
          <w:b/>
        </w:rPr>
        <w:t>E. 8</w:t>
      </w:r>
    </w:p>
    <w:p>
      <w:r>
        <w:t>En définitive, l’appel du Ministère public doit être partiellement admis et le jugement entrepris réformé dans le sens des considérants qui précèdent. La requête de G.________ tendant à ce que l’avocat Joris Bühler soit désigné en qualité de défenseur d’office pour la procédure d’appel est superflue. En effet, le droit à une défense d’office vaut pour toutes les étapes de la procédure (Harari/Jakob/Santamaria, in : CR CPP, op. cit.,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(Code de procédure civile du 19 décembre 2008 ; RS 272) en matière civile. Il n’y a pas lieu de s’écarter de la liste des opérations produite par Me Joris Bühler, défenseur d’office de l’intimé, qui fait état de 550 minutes d’activité d’avocat breveté, y compris la durée de l’audience d’appel estimée à 120 minutes, et de débours à hauteur de 127 fr. 40, dont une vacation à 120 fr., si ce n’est pour tenir compte de la durée effective des débats d’appel et retrancher 40 minutes à ce titre. L’indemnité de défenseur d’office de Me Joris Bühler pour la procédure d’appel est par conséquent fixée à 1'785 fr., correspondant à des honoraires à hauteur de 1'530 fr., à des débours à concurrence de 7 fr. 40, à une vacation par 120 fr. et à la TVA au taux de 7,7 %, par 127 fr. 60. Vu l’issue de la cause, les frais de la procédure d’appel, par 4’575 fr., constitués en l’espèce de l'émolument de jugement, par 2’790 fr. (art. 21 al. 1 et 2 TFIP [Tarif des frais de procédure et indemnités en matière pénale du 28 septembre 2010 ; BLV 312.03.1]), ainsi que de l’indemnité allouée au défenseur d’office, par 1'785 fr., seront mis par moitié, soit par 2’287 fr. 50, à la charge de G.________, qui succombe sur une partie des conclusions de l’appelant, le solde étant laissé à la charge de l’Etat (art. 428 al. 1 CPP). G.________ sera tenu de rembourser à l’Etat la part mise à sa charge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