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82 vom 7. September 2020</w:t>
      </w:r>
    </w:p>
    <w:p>
      <w:r>
        <w:t>VD Tribunal cantonal, 2020-09-07, FR</w:t>
      </w:r>
    </w:p>
    <w:p>
      <w:r>
        <w:rPr>
          <w:b/>
        </w:rPr>
        <w:t xml:space="preserve">Quelle: </w:t>
      </w:r>
      <w:r>
        <w:t>https://mcp.opencaselaw.ch/entscheid/vd_findinfo_Jug___2023___82</w:t>
      </w:r>
    </w:p>
    <w:p>
      <w:r>
        <w:t>FR: VD_FINDINFO Jug / 2023 / 82 du 7 septembre 2020</w:t>
      </w:r>
    </w:p>
    <w:p>
      <w:r>
        <w:t>IT: VD_FINDINFO Jug / 2023 / 82 del 7 settembre 2020</w:t>
      </w:r>
    </w:p>
    <w:p>
      <w:pPr>
        <w:pStyle w:val="Heading2"/>
      </w:pPr>
      <w:r>
        <w:t>Regeste</w:t>
      </w:r>
    </w:p>
    <w:p>
      <w:r>
        <w:t>RÉVISION{DÉCISION}, DÉCISION D'IRRECEVABILITÉ, DEMANDE ADRESSÉE À L'AUTORITÉ | 410 al. 1 let. a CPP (CH), 412 al. 1 CPP (CH), 412 al. 2 CPP (CH)</w:t>
      </w:r>
    </w:p>
    <w:p>
      <w:pPr>
        <w:pStyle w:val="Heading2"/>
      </w:pPr>
      <w:r>
        <w:t>Erwägungen</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2 e phrase,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 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du 1 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 2 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réf. cit.). Le refus d'entrer en matière s'impose alors pour des motifs d'économie de procédure, car si la situation est évidente, il n'y a pas de raison que l'autorité requière des déterminations (art. 412 al.</w:t>
      </w:r>
    </w:p>
    <w:p>
      <w:r>
        <w:rPr>
          <w:b/>
        </w:rPr>
        <w:t>E. 1.2.1</w:t>
      </w:r>
    </w:p>
    <w:p>
      <w:r>
        <w:t>et réf. cit.). Le motif de révision d’emblée non vraisemblable se conçoit en lien avec l’examen des faits et des moyens de preuves invoqués à l’appui de la demande de révision. 2. 2.1 En l’espèce, il a été reproché à F.________ de s’être, dans la région lausannoise notamment, durant une période indéterminée mais à tout le moins entre le début de l’année 2017 et le courant du mois d’avril 2017, livré à un trafic de cocaïne et de MDMA dont l’ampleur n’a pas pu être déterminée. Néanmoins, il lui a été fait grief d’avoir, entre le mois de février 2017 et le début du mois d’avril 2017, vendu 110 grammes de cocaïne destinés à la revente à [...], qui a été déféré séparément, par 20 grammes au prix de 80 fr. le gramme, ainsi que 10 grammes de MDMA, également destinés à la revente, au prix de 70 fr. le gramme. Lors de l’interpellation de [...], le 7 avril 2017, celui-ci détenait encore notamment 70 grammes de la cocaïne que le prévenu lui avait vendue aux fins de revente, à savoir 30 grammes saisis sur lui et conditionnés en 10 sachets minigrips d’un gramme et 20 parachutes d’un gramme, ainsi que 40 grammes nets découverts dans trois Tupperware lors de la perquisition effectuée à son domicile. En outre, [...] détenait 9,3 grammes de MDMA sous forme de cristaux, soit 8 grammes saisi sur lui et conditionnés en petits sachets minigrip d’un gramme, le solde découvert lors de la perquisition effectuée à son domicile. La cocaïne contenue dans le parachute jaune présentait un taux de pureté de 83,9% correspondant à une masse nette pure de cocaïne de 0,7 gramme net. Le morceau de cocaïne présentait un taux de pureté de 53,7% correspondant à une masse nette pure de cocaïne de 0.7 gramme net. Par conséquent, les 30 grammes de cocaïne saisis sur [...] représentaient 25,1 grammes de cocaïne pure. Quant aux 40 grammes retrouvés lors de la perquisition effectuée au domicile de [...], ils représentaient 21,4 grammes de cocaïne pure. Ainsi, la drogue saisie sur ce dernier et qui lui avait été vendue par F.________ représentait un total de 46,5 grammes de cocaïne pure. Lors de la perquisition effectuée le 3 août 2017 dans le second logement du prévenu, sis à Lausanne, ont en outre été découverts trois parachutes de MDMA sous forme de cristaux d’un poids total de 3,6 grammes, correspondant à une masse de substance pure de 2,9 grammes, un morceau de 5,8 grammes de haschich et un sachet minigrip contenant 1,5 gramme de marijuana. Le Tribunal correctionnel a été convaincu de la réalité des faits incriminés, contestés, sur la base des éléments suivants : - [...] mettait en cause le prévenu de manière nuancée (à savoir pour la cocaïne et le MDMA mais pas pour les ecstasies) et crédible, ses allégations de contacts téléphoniques avec le prévenu sur un numéro enregistré au nom d’une identité fictive ([...] domiciliée à Lausanne, « avenue de Chauderon ») étant corroborées par l’exploration du téléphone cellulaire du prévenu, qui a révélé que la carte SIM relative à ce numéro avait bien été insérée dans son appareil ; [...] n’avait aucune raison de mentir car il se mettait lui-même en cause. - Cette carte SIM avait eu des contacts avec une seule autre personne, nommée [...], aussi consommateur de stupéfiants. - Dans le téléphone du prévenu, deux autres cartes SIM avaient été utilisées. - De la drogue avait été trouvée chez le prévenu, par ailleurs consommateur avoué de cocaïne, de MDMA, d’ecstasy, de haschisch et de marijuana. Pour sa part, le prévenu affirmait qu’il connaissait [...] professionnellement, que leurs contacts téléphoniques étaient de nature amicale , sans lien avec la drogue, et qu’il avait acheté la carte SIM au nom de [...] dans la rue, pour pouvoir téléphoner avantageusement à l’étranger, et que la troisième carte SIM était pour sa cousine. Par arrêt rendu le 27 janvier 2021, la Cour d’appel pénale a confirmé ce constat. La Cour a aussi constaté que [...] s’était auto-incriminé et avait été condamné sur la base de ses propres déclarations. 2.2 Dans sa demande de révision, le requérant persiste à contester les faits à raison desquels il a été condamné. Comme élément nouveau, il invoque un témoignage écrit établi sous forme de courrier du 28 janvier 2023, émanant d’un certain [...], né en 1989, domicilié en République d’Irlande et ressortissant de cet Etat (et à l’heure actuelle hospitalisé au Royaume-Uni [cf. P. 98/3/6]), lui-même impliqué dans le trafic de stupéfiants et interdit de territoire suisse (P. 98/3/4 et 99/1, déjà mentionnées). Dans ce courrier, [...] explique qu’en juillet 2019, [...] lui aurait confié avoir « balancé » (sic) à tort l’un de ses clients « pour échapper à la prison et à l’expulsion » et qu’en juillet 2022, le prévenu F.________ l’aurait appelé pour se plaindre de sa condamnation. C’est alors que l’auteur du témoignage écrit aurait compris que le client en question n’était autre qu’F.________. [...] expose en outre qu’il était lui-même consommateur de stupéfiants et client de [...] et qu’il avait personnellement vu F.________ lui acheter de la drogue aussi.</w:t>
      </w:r>
    </w:p>
    <w:p>
      <w:r>
        <w:rPr>
          <w:b/>
        </w:rPr>
        <w:t>E. 3</w:t>
      </w:r>
    </w:p>
    <w:p>
      <w:r>
        <w:t>La pièce dont se prévaut le requérant n’est pas de nature à ébranler la conviction de sa culpabilité. D’abord, intrinsèquement, le témoin, lui-même d’une honnêteté douteuse dès lors qu’il avoue avoir commis des infractions à la LStup durant son séjour en Suisse, n’est pas particulièrement crédible. Opportunément, il est à l’étranger et ne prend aucun risque avec son courrier. On s’étonne en outre que l’original signé n’a été produit que le 27 février 2023, alors que l’appel téléphonique du requérant qui aurait valu cette révélation au témoin remonterait au mois de juillet 2022. Ensuite, le mensonge prétendu au sujet de la personne de son fournisseur n’a pas évité à [...] une condamnation à raison des faits en cause. Le mobile de son aveu n’est donc pas plausible. Enfin et surtout, si le prévenu avait véritablement été le client de [...] (plutôt que l’inverse), il n’aurait pas manqué, sitôt informé de sa mise en cause pour avoir vendu des stupéfiants, de rétablir les faits en expliquant qu’en réalité, c’était lui qui achetait, pour sa seule consommation personnelle. Or, F.________ a toujours persisté à dire que ses contacts avec [...] étaient purement amicaux, sans lien avec la drogue. Par ailleurs, il demeure le constat de l’usage, par le prévenu, dans son téléphone, de trois cartes SIM, dont l’une sous une identité fictive, en contact avec deux personnes du milieu de la drogue seulement. Or, cette pratique est typique des trafiquants. Il s’ensuit que le requérant ne fait valoir aucun fait ou moyen de preuve nouveau et sérieux au sens de l’art. 410 al. 1 let. a CPP, susceptible d’ébranler le raisonnement des premiers juges et de la Cour d’appel pénale.</w:t>
      </w:r>
    </w:p>
    <w:p>
      <w:r>
        <w:rPr>
          <w:b/>
        </w:rPr>
        <w:t>E. 4</w:t>
      </w:r>
    </w:p>
    <w:p>
      <w:r>
        <w:t>Il résulte de ce qui précède que la demande de révision doit être déclarée irrecevable, sans échange d’écritures (art. 412 al. 2 CPP). Vu le sort de la cause, les frais de la procédure de révision, constitués en l’espèce du seul émolument de jugement, par 770 fr. (art. 21 al. 1 et 22 TFIP [Ta­rif des frais de procédure et indemnités en matière pénale du 28 septembre 2010 ;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