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81 vom 9. Mai 2022</w:t>
      </w:r>
    </w:p>
    <w:p>
      <w:r>
        <w:t>VD Tribunal cantonal, 2022-05-09, FR</w:t>
      </w:r>
    </w:p>
    <w:p>
      <w:r>
        <w:rPr>
          <w:b/>
        </w:rPr>
        <w:t xml:space="preserve">Quelle: </w:t>
      </w:r>
      <w:r>
        <w:t>https://mcp.opencaselaw.ch/entscheid/vd_findinfo_Jug___2023___81</w:t>
      </w:r>
    </w:p>
    <w:p>
      <w:r>
        <w:t>FR: VD_FINDINFO Jug / 2023 / 81 du 9 mai 2022</w:t>
      </w:r>
    </w:p>
    <w:p>
      <w:r>
        <w:t>IT: VD_FINDINFO Jug / 2023 / 81 del 9 maggio 2022</w:t>
      </w:r>
    </w:p>
    <w:p>
      <w:pPr>
        <w:pStyle w:val="Heading2"/>
      </w:pPr>
      <w:r>
        <w:t>Regeste</w:t>
      </w:r>
    </w:p>
    <w:p>
      <w:r>
        <w:t>LIBERTÉ DE MANIFESTATION, ENTRAVE AUX SERVICES D'INTÉRÊT GÉNÉRAL, LOI FÉDÉRALE SUR LA CIRCULATION ROUTIÈRE, VIOLENCE CONTRE LES AUTORITÉS, PROTECTION DU CLIMAT, PEINE PÉCUNIAIRE | 239 CP, 286 CP, 47 CP, 90 al. 1 LCR, 429 CPP (CH)</w:t>
      </w:r>
    </w:p>
    <w:p>
      <w:pPr>
        <w:pStyle w:val="Heading2"/>
      </w:pPr>
      <w:r>
        <w:t>Erwägungen</w:t>
      </w:r>
    </w:p>
    <w:p>
      <w:r>
        <w:rPr>
          <w:b/>
        </w:rPr>
        <w:t>E. 1</w:t>
      </w:r>
    </w:p>
    <w:p>
      <w:r>
        <w:t>C.________ est née en Valais le 30 juin 1988. Elle a effectué sa scolarité dans ce canton. Au bénéfice d’une formation sociale à l’ESP, elle exerçait le métier de travailleuse sociale. Depuis le mois d’avril 2022, elle est au chômage et perçoit des indemnités mensuelles d’environ 3'000 francs. Son loyer s’élève à 700 fr. par mois et son assurance-maladie à 500 francs. Elle n’a personne à sa charge. Elle n’a ni dettes et ni fortune. C.________ dit être très impliquée dans la cause du climat. Elle fait valoir qu’elle a une prise de conscience très aiguë de l’urgence climatique et de la nécessité d’agir dans des délais très brefs. En marge de la cause climatique, elle dit être aussi très sensibilisée et impliquée dans des causes visant à promouvoir une plus grande justice sociale. Le casier judiciaire suisse de de la prévenue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2.1.1</w:t>
      </w:r>
    </w:p>
    <w:p>
      <w:r>
        <w:t>A Lausanne, le 14 décembre 2019, entre 10h05 et 16h20, sans avoir obtenu d’autorisation préalable, des manifestants ont bloqué la rue Centrale à la hauteur de l’immeuble no 4, notamment avec des tonneaux, des blocs de béton et des palettes. Certains manifestants se sont couchés par terre, assis par terre, se sont tenus et enchaînés afin d’entraver leur évacuation. A 13h15, le Commandant de police a enjoint les manifestants d’évacuer les lieux et les a informés que les interpellations commenceraient à 13h30 pour ceux qui ne respecteraient pas cette directive. Vers 13h30, une ambulance a dû être engagée, une personne ayant fait un malaise cardiaque dans l’établissement public des Brasseurs, à la rue Centrale no 4. En raison du blocage de la rue, les secours ont dû emprunter un itinéraire détourné, ce qui a rallongé leur délai d’intervention. Les manifestants, dont C.________, n’ayant pas obtempéré à l’ordre donné, ils ont été évacués de force un à un dès 13h35. La police a dû faire appel à des sapeurs-pompiers pour couper les chaînes et les cadenas retenant certains manifestants. L’opération d’évacuation a duré jusqu’à 15h55. Le trafic des transports publics et des véhicules privés a dû être interrompu dès 10h05 sur la rue Centrale et a pu être rétabli vers 16h20.</w:t>
      </w:r>
    </w:p>
    <w:p>
      <w:r>
        <w:rPr>
          <w:b/>
        </w:rPr>
        <w:t>E. 2.1.2</w:t>
      </w:r>
    </w:p>
    <w:p>
      <w:r>
        <w:t>Selon le rapport d’investigation établi le 16 décembre 2019 par la police au sujet de la manifestation du 14 décembre 2019, des militants du collectif Extinction Rebellion (ci-après : XR) recrutaient des personnes sur les réseaux sociaux pour mener une action de blocage sur la place Saint-François durant les festivités du Marché de Noël, plus précisément le 14 décembre 2019. Les organisateurs de la manifestation ont averti les autorités et les transports publics de la région lausannoise, sans toutefois déposer une demande d’autorisation, ni même préciser l’itinéraire prévu. Le 14 décembre 2019, dès 10h05, la rue Centrale a été bloquée par une cinquantaine de personnes au moyen de blocs de béton et de palettes en bois. A 10h10, une vingtaine de personnes équipées de gilets blancs se sont couchées à même le sol à l'angle de la place Saint-François, en haut de la rue du Petit-Chêne, entravant ainsi le trafic des piétons. Vers 10h25, ces personnes se sont déplacées par la rue Pépinet afin de rejoindre le blocage de la rue Centrale. Un blocage a également été organisé à la place Saint-François par une cinquantaine de manifestants, si bien que la police a fermé la rue Pépinet pour éviter que les deux groupes de manifestants se rejoignent. A 13h15, des injonctions ont été adressées aux manifestants par le Commandant de police. Il a été décidé que les interpellations des manifestants qui ne respecteraient pas les directives débuteraient un quart d’heure plus tard. A 13h32, une ambulance est intervenue dans l’établissement public des Brasseurs, rue Centrale n° 4, un client ayant été victime d’un malaise cardiaque. L’ambulance en question a dû accéder à la rue Centrale par la place Saint-François puis par la rue Pépinet, pénétrant ainsi dans le périmètre de sécurité délimité par les forces de l’ordre, ce qui a rallongé le délai d’intervention. Le trajet par la rue César-Roux, puis la rue Saint-Martin pour enfin arriver dans la rue Centrale aurait été plus court mais n’était pas praticable en raison de la manifestation. L’acheminement de la victime au CHUV a nécessité l’organisation, par la police, d’un couloir depuis la rue Centrale, en direction de la rue Saint-Martin. Dès 13h35, la police a déployé un dispositif afin de procéder aux premières interpellations. Le trafic des transports publics lausannois a été interrompu dès 10h55 pour toutes les lignes passant par la place Saint-François, ce qui a engendré un retard de 30 à 40 minutes. Les effets de cette perturbation sur la rue Centrale ont duré de 10h05 à 16h18. En définitive, nonante personnes ont été interpellées – dont C.________ – et transférées à l’Hôtel de police pour être dénoncées pour diverses infractions. C.________ a déclaré avoir participé à cette manifestation dès le début, ne pas s’être attachée à d’autres, ne pas avoir obtempéré aux sommations d’évacuation de la police et avoir dû être portée pour être évacuée.</w:t>
      </w:r>
    </w:p>
    <w:p>
      <w:r>
        <w:rPr>
          <w:b/>
        </w:rPr>
        <w:t>E. 2.2.1</w:t>
      </w:r>
    </w:p>
    <w:p>
      <w:r>
        <w:t>Le 29 mai 2020, à Lausanne, entre le parc de Montbenon et la place de Bel-Air, dans le cadre d’un rassemblement « Critical Mass » réunissant des amateurs de deux-roues pour une manifestation, qui n’avait pas reçu d’autorisation préalable pour se déplacer en cortège à travers la ville jusqu’à l’endroit où elle s’est rendue, des manifestants ont entravé la circulation routière en occupant toute la largeur de la chaussée, perturbant de la sorte les bus des transports publics lausannois en particulier. Ensuite, plusieurs dizaines d’entre eux ont pénétré par effraction dans le bâtiment inoccupé et en chantier sis place Bel-Air 4, propriété de la société [...] SA, avant de finalement accepter de quitter les lieux, après près de trois heures d’occupation du site, ensuite des injonctions répétées de la police à le faire, en raison de la situation sécuritaire de l’immeuble.</w:t>
      </w:r>
    </w:p>
    <w:p>
      <w:r>
        <w:rPr>
          <w:b/>
        </w:rPr>
        <w:t>E. 2.2.2</w:t>
      </w:r>
    </w:p>
    <w:p>
      <w:r>
        <w:t>C.________ n’a pas participé au rassemblement « Critical Mass », mais après avoir reçu un appel par les réseaux sociaux à soutenir les différents manifestants dans l’immeuble place Bel-Air 4, elle s’est rendue sur place et est entrée dans l’immeuble par une porte ouverte. Lorsque la police a demandé l’évacuation des lieux, C.________ a obtempéré sans opposer de résistance ni passive, ni active.</w:t>
      </w:r>
    </w:p>
    <w:p>
      <w:r>
        <w:rPr>
          <w:b/>
        </w:rPr>
        <w:t>E. 2.3.1</w:t>
      </w:r>
    </w:p>
    <w:p>
      <w:r>
        <w:t>A Zurich, Quaibrücke, le 20 juin 2020, entre 12h00 et 13h45, environ 350 personnes se sont réunies dans le cadre d’une manifestation non autorisée et ont bloqué la rue avec des affiches, si bien que la circulation privée et celle des transports publics ont dû être déviées par la police. Sous la menace d’un contrôle de police et de poursuite pénale, une centaine de personnes a quitté les lieux. Lorsque le contrôle de police a commencé, les manifestants ont formé un cordon, obligeant les agents à recourir à la force pour procéder aux premiers contrôles, poussant les participants à finalement obtempérer.</w:t>
      </w:r>
    </w:p>
    <w:p>
      <w:r>
        <w:rPr>
          <w:b/>
        </w:rPr>
        <w:t>E. 2.3.2</w:t>
      </w:r>
    </w:p>
    <w:p>
      <w:r>
        <w:t>C.________ s’est rendue sur place à l’appel du mouvement XR sur les réseaux sociaux et a participé à la manifestation. Lorsqu’elle a entendu les ordres d’évacuation, elle est partie de son propre chef, sans faire partie du cordon dont il a été question ci-dessus. En droit : 1. Interjeté dans les formes et délais légaux (art. 399 CPP) par une partie ayant qualité pour recourir (art. 382 al. 1 CPP) contre le jugement d'un tribunal de première instance qui a clos la procédure (art. 398 al. 1 CPP), l’appel de C.________ est recevable.</w:t>
      </w:r>
    </w:p>
    <w:p>
      <w:r>
        <w:rPr>
          <w:b/>
        </w:rPr>
        <w:t>E. 3.1</w:t>
      </w:r>
    </w:p>
    <w:p>
      <w:r>
        <w:t>L’appelante requiert la production des documents, rapports et correspondances relatifs à la manifestation du 14 décembre 2019 en mains de la municipalité, de la police et des transports publics de Lausanne, ainsi que tout document, rapport et correspondance relatifs à la manifestation du 20 juin 2020 en mains de la police, de la ville et des transports publics de Zurich. Dès lors que l’appelante a été condamnée pour avoir participé à des manifestations non autorisées, notamment pour entrave aux services d’intérêt général et violation simple des règles de la circulation routière, il s’agirait de déterminer plus précisément les entraves en question et de savoir dans quelles mesures les autorités pouvaient ou devaient connaître à l’avance les modalités des manifestations, afin d’organiser les transports publics, minimiser les inconvénients pour les autres usagers et assurer la sécurité générale.</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w:t>
      </w:r>
    </w:p>
    <w:p>
      <w:r>
        <w:rPr>
          <w:b/>
        </w:rPr>
        <w:t>E. 3.3</w:t>
      </w:r>
    </w:p>
    <w:p>
      <w:r>
        <w:t>En l’espèce, la production des documents, rapports et correspondances relatifs à la manifestation du 14 décembre 2019 n’est pas utile au traitement de l’appel, le dossier contenant tous les éléments de fait qui permettent de statuer en droit. Quant à la production de tout document, rapport et correspondance relatifs à la manifestation du 20 juin 2020, elle n’est pas nécessaire, dès lors que, comme on le verra ci-après (cf. consid. 4.3.2), l’appelante doit être libérée des chefs d’accusation d’entrave aux services d’intérêt général et de violation simple des règles de la circulation routière en relation avec la manifestation qui a eu lieu le 20 juin 2020 à Zurich. Au vu de ce qui précède, les réquisitions de preuve sollicitées par C.________ ne sont pas nécessaires au traitement de l'appel et doivent en conséquence être rejetées.</w:t>
      </w:r>
    </w:p>
    <w:p>
      <w:r>
        <w:rPr>
          <w:b/>
        </w:rPr>
        <w:t>E. 4.1</w:t>
      </w:r>
    </w:p>
    <w:p>
      <w:r>
        <w:t>Invoquant une violation des art. 7, 10, 11 CEDH et 16 et 22 Cst., ainsi que de l’art. 21 Pacte ONU II, l’appelante fait valoir que sa condamnation pénale serait disproportionnée et violerait sa liberté d’expression, de réunion et d’association. Elle invoque en particulier un arrêt de la CourEDH Bumbes c. Roumanie du 3 mai 2022 (req. 18079/15). Elle soutient qu’elle aurait été condamnée uniquement en raison de l’absence d’autorisation. Or, les perturbations n’auraient pas été plus importantes ni moins prévisibles en raison de l’absence de procédure d’autorisations, dès lors que les autorités municipales auraient été largement informées de la tenue des manifestations en cause, tant à Lausanne qu’à Zurich. Elle relève en outre que les actes et intentions de l’appelante, en participant aux manifestations en question, étaient pacifiques et ne visaient qu’à attirer l’attention publique sur un sujet d’importance majeure. Partant, elle devrait être libérée de toute infraction.</w:t>
      </w:r>
    </w:p>
    <w:p>
      <w:r>
        <w:rPr>
          <w:b/>
        </w:rPr>
        <w:t>E. 4.2.1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précité consid. 4.2). L’art. 11 § 1 CEDH (en relation avec l’art. 10 CEDH), qui consacre notamment le droit de toute personne à la liberté de réunion et à la liberté d’association, offre des garanties comparables (ATF 132 I 256 précité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 ; TF 6B_655/2022 précité consid. 4.2).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 La CourEDH estime que la protection offerte par l’art. 11 CEDH ne dépend pas de savoir si le rassemblement s’est déroulé conformément à la procédure prévue par le droit interne. Dans son arrêt de la CourEDH Bukta et autres c. Hongrie , la CourEDH a estimé que, dans des circonstances spéciales où il peut se justifier de réagir immédiatement, par exemple à un événement politique, par une manifestation pacifique, disperser celle-ci au motif que l’obligation de notification préalable n’a pas été respectée et sans que les participants se fussent comportés d’une manière contraire à la loi constituerait une restriction disproportionnée à la liberté de réunion pacifique. Puis, dans un arrêt de la CourEDH précité Bumbes c. Roumanie (le requérant, un activiste notoire impliqué dans diverses actions citoyennes, ainsi que trois autres personnes ont été condamnées à une amende pour s’être menottés à une barrière du parking bloquant l’accès au siège du gouvernement et avoir brandi des panneaux), la CourEDH a reproché aux juridictions nationales de ne pas avoir évalué le degré de perturbation que les actes de l’intéressé avaient éventuellement causé, de ne pas avoir cherché à ménager un équilibre entre les impératifs découlant des objectifs énumérés à l’art. 11 § 2, d’un côté, et ceux d’une libre expression par la parole, le geste ou même le silence des opinions de personnes réunies dans la rue ou en d’autres lieu publics, d’un autre côté, accordant ainsi un poids prépondérant à l’illégalité formelle de la manifestation en question, et en particulier, de ne pas avoir cherché à déterminer si, compte tenu du nombre de participants, pareille déclaration aurait servi l’objectif de permettre aux autorités de prendre les mesures nécessaires pour en garantir le bon déroulement. Cela étant, le système de déclaration préalable et le degré de tolérance dont les autorités publiques doivent faire preuve à l’égard des rassemblements pacifiques ne peuvent être étendus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règlementations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(arrêt de la CourEDH Navalnyy c. Russie du 15 novembre 2018, § 99 et 149 ss et les références citées). Il existe, en principe, sur la base de la liberté d’opinion, d’information et de réunion, un droit conditionnel à l’usage accru du domaine public pour des manifestations avec appel au public (ATF 144 I 50 consid. 6.3 ; ATF 138 I 274 consid. 2.2.2 ; ATF 132 I 256 précité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précité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consid. 3).</w:t>
      </w:r>
    </w:p>
    <w:p>
      <w:r>
        <w:rPr>
          <w:b/>
        </w:rPr>
        <w:t>E. 4.2.2</w:t>
      </w:r>
    </w:p>
    <w:p>
      <w:r>
        <w:t>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 §§ 46-47).</w:t>
      </w:r>
    </w:p>
    <w:p>
      <w:r>
        <w:rPr>
          <w:b/>
        </w:rPr>
        <w:t>E. 4.3.1</w:t>
      </w:r>
    </w:p>
    <w:p>
      <w:r>
        <w:t>En l’espèce, s’agissant d’abord de la manifestation ayant eu lieu le 14 décembre 2019 à Lausanne, il est établi que les manifestants, dont l’appelante faisait partie, ont occupé de manière exclusive des voies de communication importantes du domaine public en plein centre de la ville de Lausanne, provoquant en particulier la paralysie des services de transport public empruntant les axes en question. Il n’est pas contesté que ce sont plusieurs centaines d’usagers, pour le moins, qui ont été entravés dans leurs déplacements. L’occupation sans autorisation de ces voies de communication visait indiscutablement à provoquer des perturbations importantes. Dans ces conditions, l’appelante n’est pas fondée à se prévaloir des art. 10 et 11 CEDH et des libertés qu’ils consacrent. La réaction patiente des autorités confrontées à des blocages très importants et de longue durée, contrairement à ce qui était le cas dans l’affaire Bumbes c. Roumanie invoquée par la défense, autorités qui essayaient de privilégier le dialogue, montre que les sanctions infligées étaient une nécessité, soit que cette réaction répondait à un besoin social impérieux, dans une société démocratique fondée sur la légalité. Il n’a pas été question de disperser la manifestation pour le seul motif que l’obligation de notification préalable n’avait pas été respectée, mais bien parce que la durée de la manifestation et le comportement des participants nécessitaient que l’ordre public soit rétabli, dans l’intérêt bien compris des citoyens qui, eux, ne manifestaient pas. On relève, en particulier, que les forces de l’ordre ne sont intervenues qu’après que les manifestants ont pu se réunir et s’exprimer pendant de nombreuses heures. C’est ainsi à bon droit que les autorités ont finalement dispersé les manifestants afin de restaurer l’usage normal du domaine public, procédant à l’évacuation des manifestants de manière proportionnée, sans aucun usage excessif de la force : les droits constitutionnels invoqués par l’appelante ne l’autorisaient ni à entraver l’usage du domaine public ni à s’opposer à l’évacuation des lieux par la police. En effet, l’appelante a voulu mener une action perturbatrice, ce qui n’est pas protégé, d’autant qu’il ne s’agissait pas de réagir immédiatement à un événement politique, mais plutôt de mener un combat de longue haleine. Autrement dit, à l’évidence, l’action menée par l’appelante n’était pas indispensable pour faire valoir sa liberté de réunion et d’expression. Quoi qu’elle en dise, en s’appropriant une partie du domaine public pour bloquer la circulation au centre de la ville de Lausanne, l’appelante a adopté un comportement actif visant à exercer délibérément une contrainte sur la population non-manifestante, sans égard aux conséquences qui pouvaient en résulter, ce qui ne correspond pas à l’attitude exclusivement pacifique dont elle se réclame.</w:t>
      </w:r>
    </w:p>
    <w:p>
      <w:r>
        <w:rPr>
          <w:b/>
        </w:rPr>
        <w:t>E. 4.3.2</w:t>
      </w:r>
    </w:p>
    <w:p>
      <w:r>
        <w:t>S’agissant ensuite de la manifestation ayant eu lieu le 20 juin 2020 à Zurich, on ignore si les autorités étaient au courant qu’une manifestation aurait lieu au Quaibrücke et si elles ont pu s’organiser en conséquence. On ignore également l’ampleur des perturbations. Dans tous les cas, il n’est pas établi que la liberté d’expression de l’appelante a été respectée, au vu essentiellement de la courte durée de la manifestation. Partant, l’appelante doit être libérée des infractions d’entrave aux services d’intérêt général et de violation des règles de la circulation routière en lien avec la manifestation du 20 juin 2020.</w:t>
      </w:r>
    </w:p>
    <w:p>
      <w:r>
        <w:rPr>
          <w:b/>
        </w:rPr>
        <w:t>E. 5.1</w:t>
      </w:r>
    </w:p>
    <w:p>
      <w:r>
        <w:t>L’appelante invoque une violation de l’art. 239 CP. Elle fait valoir que le dossier ne comporte aucune indication concrète relative aux empêchements, troubles ou mises en danger des entreprises de transports qu’elle aurait personnellement commis. En outre, les autorités auraient disposé de connaissances suffisantes pour prendre des mesures de réorganisation des transports publics dans la mesure utile. Ce serait donc à tort que le Tribunal de police aurait reconnu l’appelante coupable d’entrave aux services d’intérêt général.</w:t>
      </w:r>
    </w:p>
    <w:p>
      <w:r>
        <w:rPr>
          <w:b/>
        </w:rPr>
        <w:t>E. 5.2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3e éd., Berne 2010, n. 6 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5.3</w:t>
      </w:r>
    </w:p>
    <w:p>
      <w:r>
        <w:t>En l’espèce, les autorités de la ville de Lausanne savaient que le collectif XR avait planifié des actions de blocage le 14 décembre 2019, les organisateurs ayant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à la rue Centrale, ce n’est que lorsqu’une cinquantaine de personnes sont venues bloquer la rue avec des palettes en bois et des blocs en béton que les autorités ont compris que cette artère allait être bloquée, dès lors qu’elles s’attendaient uniquement à une action de blocage sur la place St-François. En d’autres termes, les autorités ont été prises au dépourvu et mises devant le fait accompli lors de cette manifestation. Concernant la manifestation du 14 décembre 2019, les actions des manifestants ont interrompu le trafic des transports publics dès 10h55 pour toutes les lignes transitant par la place St-François, ce qui a engendré des retards de 30 à 40 minutes et ces contraintes se sont répétées, dans une même mesure, sur la rue Centrale dès sa fermeture à 10h05. Les effets de cette perturbation sur la rue Centrale ont duré jusqu’à 16h18, soit durant plus de 5 heures. Lors de cette manifestation, la circulation des transports publics a été sérieusement entravée. L’interruption du trafic des bus transitant par la place St-François a été répétée sur la rue Centrale. De surcroît, dans un contexte urbain, les déviations mises en place d’urgence ont de toute évidence entraîné des retards en cascade sur tout le réseau des transports publics lausannois, la rue Centrale étant un point névralgique de cette agglomération. Dans ces conditions, les faits reprochés à C.________, qui admet avoir participé à la manifestation du 14 décembre 2019 à la rue Centrale, pendant plusieurs heures, et qui a dû être portée par la police pour être évacuée, ce qui démontre qu’elle était bel et bien là pour bloquer la rue, constituent précisément une entrave à un service d’intérêt général au sens de l’art. 239 CP, le trafic ayant été longuement interrompu. L’élément subjectif est également réalisé, puisque l’appelante s’est, dans l’hypothèse la plus favorable, accommodée de cette situation, de sorte qu’elle a agi à tout le moins par dol éventuel. Les conditions d’application de l'art. 239 CP étant réalisées, la condamnation de C.________ pour infraction d’entrave aux services d’intérêt général en lien avec la manifestation du 14 décembre 2019 doit être confirmée.</w:t>
      </w:r>
    </w:p>
    <w:p>
      <w:r>
        <w:rPr>
          <w:b/>
        </w:rPr>
        <w:t>E. 6.1</w:t>
      </w:r>
    </w:p>
    <w:p>
      <w:r>
        <w:t>L’appelante conteste toute violation de l’art. 90 al. 1 LCR. Elle fait valoir que le dossier ne permet pas de situer sa position ni de savoir si elle bloquait la chaussée. Subsidiairement, elle soutient que les art. 239 CP et 90 LCR entrent en concours imparfait.</w:t>
      </w:r>
    </w:p>
    <w:p>
      <w:r>
        <w:rPr>
          <w:b/>
        </w:rPr>
        <w:t>E. 6.2</w:t>
      </w:r>
    </w:p>
    <w:p>
      <w:r>
        <w:t>En l’espèce, comme déjà mentionné ci-dessus, lors de la manifestation du 14 décembre 2019 à la rue Centrale, l’appelante a dû être portée pour être évacuée. Tel n’aurait pas été le cas si on ne pouvait pas lui reprocher concrètement d’avoir bloqué la circulation et le trafic des véhicules. L’appelante a été renvoyée en jugement pour violation simple des règles de la circulation (art. 90 al. 1 LCR), pour violation des art. 26 al. 1 LCR, 49 al. 2 LCR et 46 al. 2 OCR. La violation de ces trois dispositions est en lien avec le blocage des véhicules autres que ceux d’urgence et des transports publics. En effet, les manifestants ont bloqué la circulation et le trafic des véhicules, notamment des véhicules d'urgence (police, pompiers, ambulances) et des bus, a dû être dévié sur d'autres artères, en interrompant le trafic des véhicules privés. L’ensemble du trafic a été perturbé sur les lieux ciblés par la manifestation. Autrement dit, la violation des trois dispositions précitées est en lien avec le blocage des véhicules autres que ceux d’urgence et des transports publics. La condamnation de l’appelante pour violation simple des règles de la circulation routière en lien avec la manifestation du 14 décembre 2019 doit donc être confirmée, cette disposition n’entrant pas en concours imparfait avec l’art. 239 CP.</w:t>
      </w:r>
    </w:p>
    <w:p>
      <w:r>
        <w:rPr>
          <w:b/>
        </w:rPr>
        <w:t>E. 7.1</w:t>
      </w:r>
    </w:p>
    <w:p>
      <w:r>
        <w:t>L’appelante invoque une violation de l’art. 286 CP. Elle fait valoir qu’elle n’a pas activement résisté lors de son évacuation par les forces de l’ordre.</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 actes de l'autorité (ATF 107 IV 113 consid. 4 ; TF 6B_333/2011 du 27 octobre 2011 consid. 2.2.1).</w:t>
      </w:r>
    </w:p>
    <w:p>
      <w:r>
        <w:rPr>
          <w:b/>
        </w:rPr>
        <w:t>E. 7.3</w:t>
      </w:r>
    </w:p>
    <w:p>
      <w:r>
        <w:t>Contrairement à ce qu’elle soutient, une opposition active doit être reprochée à l’appelante lors de son évacuation pour la manifestation du 14 décembre 2019. Aux débats de première instance, elle a en effet déclaré qu’elle avait entendu les ordres d’évacuation, mais qu’elle avait dû être portée pour être évacuée (jugement, p. 4). A l’audience d’appel, elle a confirmé avoir entendu des ordres d’évacuation lorsqu’elle était à la rue Centrale et avoir dû être portée pour être évacuée, respectivement avoir passivement résisté (cf. p. 3 ci-dessus). Dans la mesure où l’appelante n’a pas obtempéré ni suivi la police de son plein gré, elle a exercé une opposition active à l’égard des policiers chargés de son évacuation, peu importe qu’elle se soit ou non accrochée à d’autres manifestants. Les griefs soulevés par l’appelante doivent donc être rejetés et sa condamnation pour empêchement d’accomplir un acte officiel doit être confirmée.</w:t>
      </w:r>
    </w:p>
    <w:p>
      <w:r>
        <w:rPr>
          <w:b/>
        </w:rPr>
        <w:t>E. 8.1</w:t>
      </w:r>
    </w:p>
    <w:p>
      <w:r>
        <w:t>L’appelante conteste sa condamnation pour contravention à l’Ordonnance 2 sur les mesures destinées à lutter contre le coronavirus (COVID-19) du 13 mars 2020 (état au 14 mai 2020) (Ordonnance 2 COVID-19 ; RS 818.101.24). Elle soutient que tant pour le rassemblement du 29 mai 2020 à Lausanne que pour la manifestation du 20 juin 2020 à Zurich, le dossier ne dit rien du nombre de personnes rassemblées, de la distance entre elles, ni ne donne de véritables éléments pour conclure qu’il y a eu contravention. Elle fait en outre valoir que les mesures ont évolué si fréquemment qu’elle ne pouvait pas savoir, à ce moment-là, qu’elle transgressait une norme. Enfin, les dispositions relatives aux interdictions de manifester pendant cette période précise auraient par ailleurs fait l’objet d’un arrêt de la CourEDH qui les aurait jugées disproportionnées et contraires à l’art. 11 CEDH (CourEDH, arrêt Communauté genevoise d’action syndicale CGAS c. Suisse, 15 mars 2022).</w:t>
      </w:r>
    </w:p>
    <w:p>
      <w:r>
        <w:rPr>
          <w:b/>
        </w:rPr>
        <w:t>E. 8.2</w:t>
      </w:r>
    </w:p>
    <w:p>
      <w:r>
        <w:t>Selon l’art. 7c Ordonnance 2 COVID-19 (état au 14 mai 2020), les rassemblements de plus de cinq personnes dans l’espace public, notamment sur les places publiques, sur les promenades et dans les parcs, sont interdits, à l’exception des rassemblements d’élèves dans les cours de récréation (al. 1). Lors de rassemblements de cinq personnes au plus, celles-ci doivent se tenir à au moins deux mètres les unes des autres (al. 2). L’art. 10f al. 2 let. a Ordonnance 2 COVID-19 (état au 14 mai 2020) prévoit qu’est puni de l’amende, quiconque a enfreint l’interdiction de rassemblement dans les lieux publics visée à l’art. 7c.</w:t>
      </w:r>
    </w:p>
    <w:p>
      <w:r>
        <w:rPr>
          <w:b/>
        </w:rPr>
        <w:t>E. 8.3</w:t>
      </w:r>
    </w:p>
    <w:p>
      <w:r>
        <w:t>En l’espèce, on relèvera d’abord qu’il ne fait aucun doute que C.________ savait que tout rassemblement de plus de cinq personnes était prohibé à cette époque-là. Comme l’a retenu le premier juge, les mesures de restrictions étaient nouvelles au mois de mai 2020, elles étaient largement publicisées et étaient le centre des conversations, tous milieux confondus. L’appelante a pourtant choisi de rejoindre les manifestants, que ce soit à Lausanne ou à Zurich, guidée par un intérêt qu’elle jugeait supérieur. La transgression est à l’évidence intentionnelle. S’agissant ensuite du nombre de personnes, le dossier fait état d’un rassemblement d’en tout cas plusieurs dizaines de manifestants dans le bâtiment sis à Lausanne et de trois cent cinquante manifestants sur le pont à Zurich. Dans les deux cas, on est bien loin d’un rassemblement autorisé de cinq personnes au plus. En outre, l’appelante a admis, d’une part, être allée soutenir les différents manifestants dans le bâtiment à Lausanne, ensuite d’un appel par les réseaux sociaux et, d’autre part, avoir participé à la manifestation de Zurich. Les éléments constitutifs de la contravention à l’Ordonnance 2 COVID-19 sont donc réalisés. Enfin, dans l’arrêt de la CourEDH dont se réclame l’appelante, ce que reproche la CourEDH à la Suisse, c’est de ne pas avoir mis en place un contrôle constitutionnel des ordonnances par le pouvoir judiciaire. Pour le surplus, il faut relever que tant la manifestation « Critical Mass » que celle de Zurich n’étaient nullement autorisées, qu’elles étaient donc illicites et, partant, pas protégées. Par conséquent, la condamnation de l’appelante pour contravention à l’Ordonnance 2 COVID-19 doit être confirmée.</w:t>
      </w:r>
    </w:p>
    <w:p>
      <w:r>
        <w:rPr>
          <w:b/>
        </w:rPr>
        <w:t>E. 9.1</w:t>
      </w:r>
    </w:p>
    <w:p>
      <w:r>
        <w:t>Certains chefs d’accusation ayant été abandonnés, la peine infligée à l’appelante doit être revue.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9.2.3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9.2.4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9.3</w:t>
      </w:r>
    </w:p>
    <w:p>
      <w:r>
        <w:t>En l’espèce, la culpabilité de la prévenue ne saurait être qualifiée de légère, dès lors qu’elle a activement participé au blocage de l’une des artères principales de la ville de Lausanne, provoquant d’importantes perturbations du trafic routier et la mise en place d’un dispositif policier conséquent, et s’opposant à son évacuation, obligeant les policiers à effectuer les manœuvres d’extraction décrites dans les rapports de police. A charge, il convient également de tenir compte du concours d’infractions du fait que la prévenue n’a pas hésité à manifester à Zurich et dans un immeuble à Lausanne, alors qu’elle savait qu’une instruction pénale était ouverte contre elle en raison de sa participation à la manifestation du 14 décembre 2019. A décharge, il sera tenu compte du fait que la prévenue a admis sa participation aux manifestations et que sa résistance était limitée. L’absence d’antécédents est un élément neutre. Le choix de la peine pécuniaire ne se discute pas. Ce genre de peine est suffisant pour déployer l’effet préventif escompté. L’infraction la plus grave est l’entrave aux services d’intérêt général, qui justifie une peine pécuniaire de 10 jours-amende pour la manifestation du 14 décembre 2019. Par l’effet du concours, l’infraction d’empêchement d’accomplir un acte officiel pour la même manifestation justifie une augmentation de la peine pécuniaire de 5 jours-amende. C’est donc une peine pécuniaire de 15 jours-amende qui doit être prononcée à l’encontre de C.________. Arrêtée à 30 fr., la quotité du jour-amende correspond à la situation personnelle et financière de l’appelante et s’avère donc conforme aux exigences de l’art. 34 al. 2 CP. Pour les motifs pertinents retenus par le premier juge, la peine pécuniaire prononcée peut être assortie du sursis, le délai d’épreuve étant fixé à deux ans. A cette peine pécuniaire, s’ajoutent encore des amendes pour sanctionner les infractions de violation simple des règles de la circulation routière et de contravention à l’Ordonnance 2 Covid-19. L’infraction la plus grave est la violation simple des règles de la circulation routière, qui doit être réprimée par une amende d’une quotité de 100 fr., peine augmentée, par les effets du concours, de 50 fr. pour chacune des deux contraventions à l’Ordonnance 2 Covid-19, de gravité égale. C’est donc une amende d’une quotité totale de 200 fr. qui doit être infligée à l’appelante. La peine privative de liberté de substitution en cas de non-paiement fautif de l’amende sera arrêtée à 2 jours (art. 106 al. 3 CP).</w:t>
      </w:r>
    </w:p>
    <w:p>
      <w:r>
        <w:rPr>
          <w:b/>
        </w:rPr>
        <w:t>E. 10</w:t>
      </w:r>
    </w:p>
    <w:p>
      <w:r>
        <w:t>La condamnation de l’appelante ayant été confirmée, il convient de rejeter sa conclusion tendant à sa libération de l’intégralité des frais de première instance.</w:t>
      </w:r>
    </w:p>
    <w:p>
      <w:r>
        <w:rPr>
          <w:b/>
        </w:rPr>
        <w:t>E. 11.1</w:t>
      </w:r>
    </w:p>
    <w:p>
      <w:r>
        <w:t>L’appelante conclut enfin à l’octroi d’une indemnité équitable en application de l’art. 429 CPP pour ses frais de défense en première instance.</w:t>
      </w:r>
    </w:p>
    <w:p>
      <w:r>
        <w:rPr>
          <w:b/>
        </w:rPr>
        <w:t>E. 11.2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spéc. 1312 ch. 2.10.3.1 ; ATF 142 IV 45 consid. 2.1).</w:t>
      </w:r>
    </w:p>
    <w:p>
      <w:r>
        <w:rPr>
          <w:b/>
        </w:rPr>
        <w:t>E. 11.3</w:t>
      </w:r>
    </w:p>
    <w:p>
      <w:r>
        <w:t>En l’espèce, quand bien même C.________ est en partie acquittée et que la moitié des frais de procédure de première instance sont laissés à la charge de l’Etat, aucune indemnité réduite ne lui sera allouée pour les dépenses occasionnées par l’exercice raisonnable de ses droits en procédure de première instance. En effet, l’affaire ne présentait pas de difficultés particulières et ne nécessitait pas le recours à un avocat, dès lors que les faits ont été admis pour l’essentiel, que l’enjeu pénal est limité et qu’il s’agit d’une affaire de masse.</w:t>
      </w:r>
    </w:p>
    <w:p>
      <w:r>
        <w:rPr>
          <w:b/>
        </w:rPr>
        <w:t>E. 12</w:t>
      </w:r>
    </w:p>
    <w:p>
      <w:r>
        <w:t>En définitive, l’appel doit être partiellement admis et le jugement modifié dans le sens des considérants qui précèdent. Vu l’issue de la cause, les frais de la procédure d'appel, constitués de l'émolument du présent jugement, par 2’930 fr. (art. 21 al. 1 TFIP [Tarif des frais de procédure et indemnités en matière pénale du 28 septembre 2010 ; BLV 312.03.1]), seront mis par quatre cinquièmes à la charge de C.________, qui succombe partiellement (art. 428 al. 1 CPP), le solde étant laissé à la charge de l’Etat. L’appelante a droit à une indemnité réduite dans la même proportion. Le défenseur de C.________ a produit une liste des opérations, dont il n’y a pas lieu de s’écarter, si ce n’est pour tenir compte de la durée de l’audience d’appel. Le montant de l’indemnité doit ainsi être arrêté sur la base d’une durée d’activité utile du défenseur de 14h54, au tarif horaire de 250 fr., plus 74 fr. 50 de débours, plus 292 fr. 55 de TVA, ce qui représente un montant total de 4'092 fr. 05. Compte tenu de la réduction, c'est une indemnité de 818 fr. 60, débours et TVA compris, qui doit être allouée à l'appelante, à la charge de l’Etat, pour ses frais de défense en appel. En application de l’art. 442 al. 4 CPP, il convient d’effectuer une compensation entre l’indemnité allouée à l’appelante selon l’art. 429 CPP et les frais d’appel mis à sa charge. La Cour d’appel pénale, appliquant les art. 10, 34, 42 al. 1, 44 al. 1, 47, 49 al. 1, 106, 239 ch. 1 al. 1, 286 CP ; 90 al. 1 LCR en relation avec 26 al. 1, 49 al. 2 LCR et 46 al. 2 OCR ; art. 10f al. 2 let. a en relation avec l’art. 7c al. 1 Ordonnance 2 COVID-19 ; 398 ss CPP, prononce : I. L’appel est partiellement admis. II. Le jugement rendu le 9 mai 2022 par le Tribunal de police de l’arrondissement de Lausanne est modifié aux chiffres III et IV de son dispositif, le dispositif étant désormais le suivant : " I. libère C.________ des infractions de violation de domicile et contravention à la loi sur les contraventions ; II. constate que C.________ s’est rendue coupable d’entrave aux services d’intérêt général, empêchement d’accomplir un acte officiel, violation simple des règles de la circulation routière et contravention à l’Ordonnance 2 Covid-19 ; III. condamne C.________ à une peine pécuniaire de 15 jours-amende, le montant du jour-amende étant arrêté à 30 fr. et à une amende de 200 fr. ; IV. suspend l’exécution de la peine pécuniaire mentionnée au chiffre III et fixe à C.________ un délai d’épreuve de 2 ans et dit qu’en cas de non-paiement fautif de l’amende, la peine privative de liberté de substitution sera de 2 jours ; V. met les frais de la cause, par 450 fr., à la charge de C.________ et laisse le solde à la charge de l’Etat." III. Les frais d'appel, par 2’930 fr., sont mis par quatre cinquièmes à la charge de C.________, le solde étant laissé à la charge de l’Etat. IV. Une indemnité réduite de 818 fr. 60 est allouée à C.________ pour les dépenses occasionnées par l’exercice raisonnable de ses droits en procédure d’appel, à la charge de l’Etat. V. Les frais d’appel mis à la charge de C.________ au chiffre III ci-dessus sont compensés avec l’indemnité qui lui est allouée pour la procédure d’appel au chiffre IV ci-dessus. VI. Le jugement motivé est exécutoire. Le président :              La greffière : Du Le jugement qui précède, dont le dispositif a été communiqué par écrit aux intéressés le</w:t>
      </w:r>
    </w:p>
    <w:p>
      <w:r>
        <w:rPr>
          <w:b/>
        </w:rPr>
        <w:t>E. 13</w:t>
      </w:r>
    </w:p>
    <w:p>
      <w:r>
        <w:t>janvier 2023 , est notifié, par l'envoi d'une copie complète, à : - Me Irène Schmidlin, avocate (pour C.________), - [...] SA, - Ministère public central, et communiqué à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