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79 vom 12. Mai 2022</w:t>
      </w:r>
    </w:p>
    <w:p>
      <w:r>
        <w:t>VD Tribunal cantonal, 2022-05-12, FR</w:t>
      </w:r>
    </w:p>
    <w:p>
      <w:r>
        <w:rPr>
          <w:b/>
        </w:rPr>
        <w:t xml:space="preserve">Quelle: </w:t>
      </w:r>
      <w:r>
        <w:t>https://mcp.opencaselaw.ch/entscheid/vd_findinfo_Jug___2023___79</w:t>
      </w:r>
    </w:p>
    <w:p>
      <w:r>
        <w:t>FR: VD_FINDINFO Jug / 2023 / 79 du 12 mai 2022</w:t>
      </w:r>
    </w:p>
    <w:p>
      <w:r>
        <w:t>IT: VD_FINDINFO Jug / 2023 / 79 del 12 maggio 2022</w:t>
      </w:r>
    </w:p>
    <w:p>
      <w:pPr>
        <w:pStyle w:val="Heading2"/>
      </w:pPr>
      <w:r>
        <w:t>Regeste</w:t>
      </w:r>
    </w:p>
    <w:p>
      <w:r>
        <w:t>DOMMAGES À LA PROPRIÉTÉ{DROIT PÉNAL}, ÉMEUTE, VIOLENCE CONTRE LES AUTORITÉS | 144 al. 1 CP, 260 CP, 285 ch. 2 CP, 35 DPMin, 36 al. 1 let. c DPMin, 44 PPMin</w:t>
      </w:r>
    </w:p>
    <w:p>
      <w:pPr>
        <w:pStyle w:val="Heading2"/>
      </w:pPr>
      <w:r>
        <w:t>Erwägungen</w:t>
      </w:r>
    </w:p>
    <w:p>
      <w:r>
        <w:rPr>
          <w:b/>
        </w:rPr>
        <w:t>E. 1</w:t>
      </w:r>
    </w:p>
    <w:p>
      <w:r>
        <w:t>CPP), l’appel de W.________ est recevable.</w:t>
      </w:r>
    </w:p>
    <w:p>
      <w:r>
        <w:rPr>
          <w:b/>
        </w:rPr>
        <w:t>E. 2.1</w:t>
      </w:r>
    </w:p>
    <w:p>
      <w:r>
        <w:t>;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 6.2 En l’espèce, les premiers juges ont considéré que l’évolution favorable de l’appelant laissait espérer que l'effet produit par l'exécution d'une partie de la peine permette de poser un pronostic favorable pour l'autre, ce d'autant que cela lui permettrait de poursuivre son apprentissage sans interruption (cf. jgmt, p. 9). Cette appréciation doit être nuancée. En effet, l’appelant a fourni de nombreuses pièces attestant de son implication dans la formation qu’il a entreprise et qu’il est sur le point de terminer avec succès auprès de la Fondation PROF-in. Tant ses formateurs que les résultats obtenus permettent à la Cour de céans de retenir que le recourant semble s’être sérieusement repris en main. Dans ces circonstances, et malgré une absence de prise de conscience réelle de la gravité des faits qui lui sont reprochés dans la présente procédure, il convient de tenir compte du temps écoulé depuis lors, de la jeunesse et des difficultés de vie du recourant, ainsi que de son évolution très favorable, pour lui accorder le sursis complet. Le délai d’épreuve peut être fixé à un an. L’appel doit être admis sur ce point. 7. L’appelant requiert une exemption de peine au sens des art. 260 al. 2 CP et 2 al. 1 DPMin pour le motif qu'il conviendrait de favoriser sa formation professionnelle et son évolution personnelle qui se déroulent bien. 7.1 7.1.1 L’art. 260 al. 2 CP dispose que celui qui aura pris part à un attroupement formé en public et au cours duquel des violences ont été commises collectivement contre des personnes ou des propriétés n’encourra aucune peine s’il s’est retiré sur sommation de l’autorité sans avoir commis de violences ni provoqué à en commettre. Cette disposition prévoit un cas spécial de repentir actif, qui exclut toute peine. Cette condition n’est pas remplie si l’auteur attend que la police charge, de même que lorsqu’il s’enfuit parce qu’il est poursuivi par des policiers (Dupuis et al. Petit Commentaire du Code pénal, op. cit., n. 14 ad. art. 260 CP et les réf. citées). 7.1.2 Selon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 Selon l'art. 21 al. 1 let. e DPMin, l'autorité de jugement renonce à prononcer une peine notamment si la peine risque de compromettre l’objectif visé par une mesure de protection déjà ordonnée ou qui sera ordonnée dans la procédure en cours (let. a), si la culpabilité du mineur et les conséquences de l’acte sont peu importants (let. b) ou encore si une période relativement longue s'est écoulée depuis l'acte, si le comportement du mineur a donné satisfaction et si l'intérêt public et l'intérêt du lésé à poursuivre le mineur pénalement sont peu importants (let. f). Ces conditions sont cumulatives (Favre/Pellet/Stoudmann, Petit commentaire du Droit pénal des mineurs, op. cit., n. 1.1 ad art. 21 DPMin). L’art. 21 DPMin vise les cas de peu de gravité. Tant la faute que le tort causé doivent être de peu d'importance. Ce motif d'exemption de peine est similaire à celui de l'art. 52 CP (Queloz, Droit pénal et justice pénale des mineurs en Suisse, Bâle 2018 p. 177 n. 233). 7.2 En l’espèce, le jour des faits, l’appelant avait 16 ans et 8 mois. Il ressort des faits retenus qu’il s’est mêlé à la foule des émeutiers et a pris la fuite lorsque la police a chargé. Les conditions d’application de l’art. 260 al. 2 CP ne sont dès lors manifestement pas réalisées. Par ailleurs, les faits commis sont graves et ont causés de nombreux et coûteux dommages matériels. A tout le moins deux personnes ont été blessées, dont une policière. L’appelant est ainsi condamné pour émeute, délit contre la paix publique passible pour les adultes d'une peine privative de liberté de trois ans au plus ou d'une peine pécuniaire, pour dommages à la propriété (incendie d'un container), délit contre le patrimoine passible pour les adultes d'une peine privative de liberté de trois ans au plus ou d'une peine pécuniaire, et enfin pour violence ou menace contre les autorités ou les fonctionnaires par une foule ameutée, délit contre l'autorité publique passible pour les adultes d'une peine privative de liberté de trois ans au plus ou d'une peine pécuniaire. La culpabilité de l’appelant est d'une importance certaine. Dans ces circonstances, les conditions d’application des art. 260 al. 2 CP et l’art. 21 DPMin ne sont manifestement pas remplies, l’appelant ne pouvant prétendre à une exemption de peine. Par ailleurs, l es premiers juges ont déjà tenu compte du déroulement de l'apprentissage et de la reprise en mains de l'intéressé en écartant une peine privative de liberté au profit de prestations personnelles (cf. jgmt p. 8). 8. A titre encore plus subsidiaire, l’appelant se plaint d’un défaut de motivation dans le jugement entrepris, s’agissant des infractions retenues de dommage à la propriété et de violence et menace contre les autorités et les fonctionnaires par une foule ameutée. Par ce grief, il se prévaut implicitement d’une violation de son droit d’être entendu. 8.1 Le droit d’être entendu, garanti par les art. 3 al. 2 let. c CPP, 29 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 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8.2 En l’espèce, on ne décèle aucune lacune dans la motivation du jugement entrepris, tant s’agissant des faits reprochés que concernant la fixation de la peine, les premiers juges ayant respecté la jurisprudence fédérale précitée. En tout état de cause, le grief fondé sur une motivation insuffisante de ce premier jugement s'avère sans objet dès lors que le jugement de la Cour d’appel pénale a exposé les motifs à l'appui des condamnations pour dommages à la propriété et pour violence et menace contre les autorités et les fonctionnaires par une foule ameutée (cf. consid. 3.2 supra). Le grief, mal fondé, doit dès lors être rejeté. 9. A titre subsidiaire, l'appelant demande que sa libération de l’infraction d'empêchement d'accomplir un acte officiel (art. 286 CP) – abandonnée par les premiers juges dans la mesure où elle était prescrite – soit mentionnée dans le dispositif et pas seulement dans les considérants du jugement entrepris. 9.1 L’art. 80 al. 2 CPP dispose que les prononcés sont rendus par écrit et motivés. Ils sont signés par la direction de la procédure et par le préposé au procès-verbal et sont notifiés aux parties. Lorsqu'une personne est poursuivie et jugée pour plusieurs chefs d'accusation, le dispositif doit contenir un prononcé de culpabilité ou d'acquittement par chef d'accusation (Brüschweiler, in Donatsch/Hansjakob/Lieber, [éd.], Kommentar zur Schweizerischen Strafprozessordnung, 2 e éd., Zurich/Bâle/Genève 2014, n. 11 ad art. 81 CPP ; également Macaluso/Toffel in Commentaire romand, Code de procédure pénale suisse, 2 e éd., Bâle 2019, [ci-après : CR-CPP], n. 20 ad art. 81 CPP). Si une qualification juridique plus favorable que celle de l'acte d'accusation est retenue - par exemple le meurtre en lieu et place de l'assassinat -, le prononcé d'un acquittement pour l'infraction la plus grave n'est cependant pas nécessaire. Il en va de même lorsque le tribunal écarte des conclusions alternatives ou subsidiaires prises par le Ministère public (art. 325 al. 2 CPP) ou lorsqu'il retient des conclusions subsidiaires au détriment de conclusions principales (Jornot, in CR-CPP, n. 3 ad art. 351 CPP ; également Schmid, in Donatsch/Hansjakob/Lieber , op. cit., n. 2 ad art. 351 CPP). Le recourant a un intérêt juridique à ce que le dispositif constate qu'il a été acquitté pour certaines infractions (cf. ATF 142 IV 378), même si cet acquittement peut être déduit des considérants du jugement attaqué. En effet, seul le dispositif déploie des effets juridiques et revêt l'autorité de chose jugée (cf. Corboz, in Commentaire de la LTF, 2 e éd., 2014, n° 31 ad art. 112 LTF ; TF 6B_1189/2017 du 23 mai 2018 consid. 1.3). 9.2 En l’espèce, le jugement de première instance indique que l’infraction d’empêchement d’accomplir un acte officiel au sens de l’art. 286 CP est prescrite de sorte qu’elle ne peut être retenue à l’encontre de l’appelant (jgmt, p. 8). Conformément à la jurisprudence rappelée ci-dessus, il convient de faire droit à l’appelant et d’indiquer explicitement sa libération de l’infraction d'empêchement d'accomplir un acte officiel dans le dispositif du jugement de première instance. Le grief est bien fondé et l’appel doit être admis sur ce point.</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a requis, à titre de mesure d’instruction, l’audition de [...] et de [...], respectivement coordinateur de formation et formateur au sein de la Fondation PROF-in. Il fait valoir que ces deux personnes sont directement impliquées dans sa formation professionnelle et qu’elles sont à même de décrire son comportement et de confirmer son évolution positive. Il a également requis l’audition de N.________, Dans la mesure où les trois témoins cités n’étaient pas présents durant les faits à l’origine de la présente procédure, leur audition n’est pas utile pour le traitement de l’appel. En outre, l’appelant a produit différentes pièces démontrant à satisfaction son comportement et le bon déroulement de sa formation, éléments qui ne sont pas remis en doute. Partant, les conditions de l’art. 389 al. 2 et 3 CPP n’étant pas réalisées, les mesures d’instruction sollicitées doivent être rejetées.</w:t>
      </w:r>
    </w:p>
    <w:p>
      <w:r>
        <w:rPr>
          <w:b/>
        </w:rPr>
        <w:t>E. 3</w:t>
      </w:r>
    </w:p>
    <w:p>
      <w:r>
        <w:t>L’appelant se plaint d’une constatation erronée ou incomplète des faits retenus par le Tribunal des mineurs. Il soutient que sa culpabilité ne repose que sur les déclarations de [...] dont il remet en doute la crédibilité, ce dernier ayant varié dans ses affirmations entre son audition par la police le 31 octobre 2020 et celles devant le tribunal de première instance le 13 octobre 2021.</w:t>
      </w:r>
    </w:p>
    <w:p>
      <w:r>
        <w:rPr>
          <w:b/>
        </w:rPr>
        <w:t>E. 3.1.1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3.1.2</w:t>
      </w:r>
    </w:p>
    <w:p>
      <w:r>
        <w:t>Aux termes de l’art. 144 CP, celui qui aura endommagé, détruit ou mis hors d’usage une chose appartenant à autrui ou frappée d’un droit d’usage ou d’usufruit au bénéfice d’autrui sera, sur plainte, puni d’une peine privative de liberté de trois ans au plus ou d’une peine pécuniaire. L'article 144 CP institue une infraction intentionnelle. Le dol éventuel suffit. L'auteur doit avoir la conscience et la volonté, au moins sous la forme du dol éventuel, de s'en prendre à la chose d'autrui ou à l’usage d’autrui, et d'en changer l’état. La protection pénale ne saurait intervenir dans des cas insignifiants ou soutenir la pure chicane (Dupuis et al., Petit Commentaire du Code pénal, 2 e éd., Bâle 2017, nn. 15 et 16 ad art. 144 CP).</w:t>
      </w:r>
    </w:p>
    <w:p>
      <w:r>
        <w:rPr>
          <w:b/>
        </w:rPr>
        <w:t>E. 3.1.3</w:t>
      </w:r>
    </w:p>
    <w:p>
      <w:r>
        <w:t>Selon l'art. 260 al. 1 CP, se rend coupable d’émeute celui qui aura pris part à un attroupement formé en public et au cours duquel des violences ont été commises collectivement contre des personnes ou des propriétés.</w:t>
      </w:r>
    </w:p>
    <w:p>
      <w:r>
        <w:rPr>
          <w:b/>
        </w:rPr>
        <w:t>E. 3.1.4</w:t>
      </w:r>
    </w:p>
    <w:p>
      <w:r>
        <w:t>L’art. 285 CP dispose que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 1). Si l’infraction a été commise par une foule ameutée, tous ceux qui auront pris part à l’attroupement seront punis d’une peine privative de liberté de trois ans au plus ou d’une peine pécuniaire (ch. 2 § 1).</w:t>
      </w:r>
    </w:p>
    <w:p>
      <w:r>
        <w:rPr>
          <w:b/>
        </w:rPr>
        <w:t>E. 3.2</w:t>
      </w:r>
    </w:p>
    <w:p>
      <w:r>
        <w:t>En l’espèce, les premiers juges ont pris en considération les faits retenus à l’encontre de l’appelant pour les différents motifs suivants. Ils ont tout d’abord constaté que l’appelant ne contestait pas sa présence sur place au moment des faits en cause. Ils ont également pris en considération sa mise en cause par [...], dont les déclarations étaient restées constantes malgré sa confrontation à l’appelant (cf. jgmt, pp. 4-5). Les magistrats ont en outre minutieusement détaillé les contradictions, divergences et incohérences qui émaillent les trois versions des faits données successivement par l’appelant, plus particulièrement le fait d'avoir intégré la foule des émeutiers ou de s'en être tenu à l'écart à 100 mètres, d’avoir été seul ou avec un groupe d'amis, de s'être rendu sur place en bus ou à pied, d’avoir vu l'attroupement par hasard en allant à [...] ou de s'être rendu au parc [...] pour y rejoindre des amis (cf. jgmt, pp</w:t>
      </w:r>
    </w:p>
    <w:p>
      <w:r>
        <w:rPr>
          <w:b/>
        </w:rPr>
        <w:t>E. 5</w:t>
      </w:r>
    </w:p>
    <w:p>
      <w:r>
        <w:t>in fine, 6 et 7 et photo annexée représentant 9 émeutiers masqués dont un porteur d'un masque scream, d'une veste avec capuche et d'un pantalon arborant trois lignes claires sur le côté droit). A l’audience du 13 octobre 2021, alors que l’appelant et [...] ont été entendus en confrontation, ce dernier a notamment confirmé les déclarations faites à la police le 4 décembre 2020. Il a expliqué que les incidents s’étaient passés devant chez lui, que la vitre de sa mère avait été cassée et que cela l’avait énervé. Il a relevé qu’il n’était pas là pour enfoncer ou dénoncer l’appelant, confirmant toutefois que ce dernier était là. Le témoin a répété avoir vu l’appelant dans la foule avec les poubelles brûlées, qu’il avait vu les copains de l’appelant et que pour lui, c’était bien l’appelant qui portait le masque de scream sur les photos qui lui avaient été présentées. Il a encore indiqué ne pas avoir vu l’appelant mettre le feu aux poubelles mais a répété qu’il était là (PV aud. 4 p. 3) . Il ressort de ces déclarations que le témoin a voulu collaborer avec la police et livrer ces constatations. Il n'y a aucune raison de relativiser la mise en cause qu'il a confirmée en confrontation. On comprend qu'il s'est fondé à la fois sur l'émeute à laquelle il a directement assisté et sur les photos mises en ligne lui ayant permis d'identifier l’appelant comme étant le porteur du masque scream et prenant la pose briquet à la main à côté d'un container incendié. Si véritablement l’appelant n'avait été que spectateur à distance et non masqué des évènements, le témoin, qui lui a manifesté de la compréhension et non de l'hostilité, n'aurait pas manqué de le dire. Peu importe que les photos que le témoin a eu l'occasion de voir n'aient pas été retrouvées et versées au dossier. Ce témoignage est crédible. A ces éléments, on peut ajouter le fait que l’appelant a pris la fuite devant la police – tout comme les émeutiers – et qu’il s’est caché pendant une heure avant de tenter une « exfiltration », par un chemin détourné vers un autre quartier de la ville où réside N.________ (PV aud. 5 p. 3). Si véritablement, l'appelant n'avait été qu'un simple spectateur, non masqué et facilement identifiable en retrait des scènes de violence, il n'aurait eu aucune raison ni de fuir, ni surtout de se cacher durant une heure. Ces comportements de soustraction au contrôle et à l'arrestation sont également révélateurs de sa participation aux événements. Au demeurant, les rapports de police (P. 4 et 5) ne font pas état de spectateurs, mais uniquement d'émeutiers masqués, d'une part, et de policiers et de pompiers, d'autre part. Aux débats d’appel, l’appelant a en outre expliqué avoir été blessé par une bombe lacrymogène, ce qui tend à confirmer qu’il se trouvait bien dans la foule des émeutiers et non à bonne distance, en simple spectateur. Compte tenu de l’ensemble de ces éléments, le Tribunal des mineurs n’a procédé à aucune constatation erronée ou incomplète des faits et n’a pas violé l’art.</w:t>
      </w:r>
    </w:p>
    <w:p>
      <w:r>
        <w:rPr>
          <w:b/>
        </w:rPr>
        <w:t>E. 5.1.1</w:t>
      </w:r>
    </w:p>
    <w:p>
      <w:r>
        <w:t>Aux termes de l’art. 11 al. 1 DPMin (loi fédérale du 20 juin 2003 régissant la condition pénale des mineurs ; RS 311.1), si le mineur a agi de manière coupable, l’autorité de jugement prononce une peine, en plus d’une mesure de protection ou comme seule mesure. L’art. 21 DPMin sur l’exemption de peine est réservé. Selon l’art. 23 DPMin, 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(al. 1). La prestation personnelle dure au maximum dix jours. Si le mineur a commis un crime ou un délit et qu’il avait quinze ans le jour où il l’a commis, la prestation personnelle peut être ordonnée pour une durée de trois mois au plus et être assortie d’une obligation de résidence (al. 3). Ce type de peine met en avant l'aspect éducatif et son exécution n'a généralement pas d'effet préjudiciable (Geiger/Redondo/Tirelli, Petit commentaire du Droit pénal des mineurs, Bâle 2019, n. 18 ad art. 35 DPMin et les références citées). Conformément à l’art. 25 al. 1 DPMin, est passible d’une privation de liberté d’un jour à un an le mineur qui a commis un crime ou un délit s’il avait quinze ans le jour où il l’a commis.</w:t>
      </w:r>
    </w:p>
    <w:p>
      <w:r>
        <w:rPr>
          <w:b/>
        </w:rPr>
        <w:t>E. 5.1.2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5.1.3</w:t>
      </w:r>
    </w:p>
    <w:p>
      <w:r>
        <w:t>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w:t>
      </w:r>
    </w:p>
    <w:p>
      <w:r>
        <w:rPr>
          <w:b/>
        </w:rPr>
        <w:t>E. 5.2</w:t>
      </w:r>
    </w:p>
    <w:p>
      <w:r>
        <w:t>En l’espèce, le Tribunal des mineurs a considéré que des prestations personnelles à exécuter sous forme de travail représentaient une sanction adéquate au regard de la situation personnelle de l'intéressé, rappelant que les prestations personnelles étaient toujours exécutées en dehors des heures de travail et en concertation avec le prévenu. S’agissant de la quotité de la peine, soit 60 demi-journées de prestations personnelles, le tribunal a retenu que les faits commis étaient graves et que les conséquences de ceux-ci avaient été importantes : de nombreux et coûteux dommages matériels avaient été commis et à tout le moins deux personnes avaient été blessées, dont une policière. Ces éléments justifiaient à eux seuls le prononcé d'une peine sévère. L’absence de prise de conscience des faits commis et de leur gravité tout au long de la procédure ont également été relevés, l’appelant continuant de nier les faits malgré un faisceau d'indices convergeant vers sa culpabilité . A décharge, le tribunal de première instance a retenu que l’appelant n'avait plus commis d'infractions depuis les faits susmentionnés et que sa situation de vie semblait désormais stable (jgmt, pp. 8-9). Cette appréciation ne prête pas le flanc à la critique et doit être confirmée. En effet, la jurisprudence citée par l’appelant n’est pas pertinente dans la mesure où – contrairement à lui – les prévenus n’avaient aucun antécédant pénal. Force est de retenir que la culpabilité de l’appelant est significative. Par esprit grégaire, imbécilité, goût du défi et de la destruction, il s'est affilié à des violences collectives contre des biens et contre des personnes, en défiant la police, dans le seul but gratuit de s'amuser et de bafouer l'ordre public. Par lâcheté, il n'assume toujours pas ses actes. L’infraction la plus grave, soit l’émeute, doit être sanctionnée par 30 jours. Par l’effet du concours, on doit y ajouter 20 jours pour l’infraction de violence ou menace contre les autorités et les fonctionnaires par une foule ameutée ainsi que 10 jours pour les dommages à la propriété. Par conséquent, il convient de confirmer la peine de 60 demi-journée de prestations personnelles, prononcée à l’encontre de l’appelant. 6. Toujours à titre subsidiaire, l’appelant a conclu au prononcé d’une peine assortie du sursis complet, afin de ne pas mettre en péril sa formation professionnelle. 6.1 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10</w:t>
      </w:r>
    </w:p>
    <w:p>
      <w:r>
        <w:t>A titre subsidiaire, l’appelant reproche aux premiers juges de s’être écartés de la peine qui avait été fixée par ordonnance pénale du 4 novembre 2021, à savoir une amende de 700 fr., dont 350 fr. avec sursis. Se référant à une jurisprudence fédérale, il considère que l’acte d’accusation, retenant une peine de 60 jours de prestations personnelles dont la moitié avec sursis, aurait été fixée en violation de l’art. 355 CPP.</w:t>
      </w:r>
    </w:p>
    <w:p>
      <w:r>
        <w:rPr>
          <w:b/>
        </w:rPr>
        <w:t>E. 10.1</w:t>
      </w:r>
    </w:p>
    <w:p>
      <w:r>
        <w:t>Si le prévenu forme opposition contre l’ordonnance pénale (art. 354 al. 1 let. a CPP), l’art. 355 CPP permet notamment à l’autorité compétente après avoir administré les autres preuves nécessaires au jugement de l’opposition (al. 1), de rendre une nouvelle ordonnance pénale (al. 3 let. c) ou de maintenir l’ordonnance pénale querellée (cf. al. 3 let. a).</w:t>
      </w:r>
    </w:p>
    <w:p>
      <w:r>
        <w:rPr>
          <w:b/>
        </w:rPr>
        <w:t>E. 10.2</w:t>
      </w:r>
    </w:p>
    <w:p>
      <w:r>
        <w:t>En l’espèce, le 4 novembre 2021, la vice-présidente du Tribunal des mineurs a rendu une première ordonnance pénale fixant la sanction à une amende de 700 fr. dont 350 fr. avec sursis. Le 18 novembre 2021, le Ministère public central a fait opposition à cette ordonnance (P. 16) en contestant la peine pour qu'elle soit portée à 60 jours de prestations personnelles dont la moitié avec sursis. La défense s'est déterminée sur cette opposition (P. 19/1). Le 25 janvier 2022, la vice-présidente du Tribunal des mineurs a alors rendu une nouvelle ordonnance qui diffère de celle du 4 novembre 2021 dans l'analyse de la culpabilité et dans la fixation de la peine. L’appelant a, à son tour, fait opposition, à cette nouvelle ordonnance que la vice-présidente a décidé de maintenir (P. 23) et qui a été transmise au Tribunal des mineurs pour valoir acte d'accusation (Gilliéron et Killias in CR-CPP, op. cit., n° 7 ad art. 355 CPP). On ne peut dès lors suivre l'argumentation de l'appelant, qui semble reprocher à la vice-présidente du Tribunal des mineures d’avoir rendu une nouvelle ordonnance de condamnation ayant exactement le même contenu que la première, dès lors que le Ministère public contestait uniquement la sanction. C’est à tort qu’il soutient qu’elle aurait dû transmettre la cause au Tribunal des mineurs avec sa première ordonnance valant acte d'accusation On ne discerne en outre pas quelles conséquences juridiques l'appelant entend tirer de ce grief.</w:t>
      </w:r>
    </w:p>
    <w:p>
      <w:r>
        <w:rPr>
          <w:b/>
        </w:rPr>
        <w:t>E. 11</w:t>
      </w:r>
    </w:p>
    <w:p>
      <w:r>
        <w:t>Fondé sur son acquittement, l’appelant conteste la mise des frais de procédure de la première instance à sa charge. Dans la mesure où sa condamnation est confirmée, il doit assumer les frais de la procédure de première instance (art. 428 CPP).</w:t>
      </w:r>
    </w:p>
    <w:p>
      <w:r>
        <w:rPr>
          <w:b/>
        </w:rPr>
        <w:t>E. 12</w:t>
      </w:r>
    </w:p>
    <w:p>
      <w:r>
        <w:t>En définitive, l’appel doit être partiellement admis et le jugement entrepris réformé dans le sens des considérants qui précèdent. Me Charlène Thorin, défenseur d’office de W.________, a produit une liste d’opérations dans laquelle elle indique avoir consacré 25.3 heures (soit 25 heures et 20 minutes) à ce mandat (P. 56). De cette liste, il convient tout d’abord de retrancher les 17 opérations comptabilisées à hauteur de 0.1 heures, correspondant à de simples mémos réalisés par le secrétariat entrant dans les frais généraux de l’étude. On retranchera également 2 heures pour les opérations concernant l’OAI qui n’ont pas de lien avec la procédure pénale. En outre, on tiendra compte de 2 heures en tout pour la préparation de l’audience d’appel – en lieu et place des 4.5 heures alléguées, ainsi que du temps effectif de l’audience d’appel, soit 1 heure et 20 minutes et non 3 heures comme allégué. C’est ainsi un mandat de 21 heures et 15 minutes qui doit être admis. Au tarif horaire de 180 fr., l’indemnité d’office qui doit être allouée à Me Charlène Thorin pour la procédure d’appel s’élève à 4'327 fr. 85, ce qui correspond à des honoraires de 3'822 fr., auxquels s’ajoutent des débours forfaitaires de 2%, par 76 fr. 45, une vacation de 120 fr. et la TVA à 7,7% sur le tout, par 309 fr. 40. Vu l'issue de la cause, les frais de la procédure d'appel, par 5'887 fr. 85, constitués en l’espèce de l'émolument d’arrêt, par 1’560 fr. (art. 21 al. 1 et 2 TFIP [Tarif des frais de procédure et indemnités en matière pénale du 28 septembre 2010 ; RSV 312.03.1]) et de l’indemnité allouée au défenseur d’office de l’appelant, par 4'327 fr. 85, seront mis par moitié à la charge de W.________, soit à hauteur de 2’943 fr. 90, le solde étant laissé à la charge de l’Etat. W.________ ne sera tenu de rembourser à l’Etat la moitié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