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56 vom 14. Oktober 2022</w:t>
      </w:r>
    </w:p>
    <w:p>
      <w:r>
        <w:t>VD Tribunal cantonal, 2022-10-14, FR</w:t>
      </w:r>
    </w:p>
    <w:p>
      <w:r>
        <w:rPr>
          <w:b/>
        </w:rPr>
        <w:t xml:space="preserve">Quelle: </w:t>
      </w:r>
      <w:r>
        <w:t>https://mcp.opencaselaw.ch/entscheid/vd_findinfo_Jug___2023___56</w:t>
      </w:r>
    </w:p>
    <w:p>
      <w:r>
        <w:t>FR: VD_FINDINFO Jug / 2023 / 56 du 14 octobre 2022</w:t>
      </w:r>
    </w:p>
    <w:p>
      <w:r>
        <w:t>IT: VD_FINDINFO Jug / 2023 / 56 del 14 ottobre 2022</w:t>
      </w:r>
    </w:p>
    <w:p>
      <w:pPr>
        <w:pStyle w:val="Heading2"/>
      </w:pPr>
      <w:r>
        <w:t>Regeste</w:t>
      </w:r>
    </w:p>
    <w:p>
      <w:r>
        <w:t>APPRÉCIATION ANTICIPÉE DES PREUVES, APPRÉCIATION DES PREUVES, SÉJOUR ILLÉGAL, BLANCHIMENT D'ARGENT, COMMERCE DE STUPÉFIANTS, FIXATION DE LA PEINE, FIXATION DE L'AMENDE, COCAÏNE, ADMINISTRATION DES PREUVES, REJET DE LA DEMANDE, CONSTATATION DES FAITS, PEINE PRIVATIVE DE LIBERTÉ, CONCOURS D'INFRACTIONS | 305bis ch. 1 CP, 40 CP, 46 CP, 49 al. 1 CP, 51 CP, 66a al. 1 let. o CP, 70 CP, 71 al. 2 CP, 10 CPP (CH), 389 CPP (CH), 398 al. 3 let. a CPP (CH), 398 al. 3 let. b CPP (CH), 115 al. 1 let. b LEI, 116 al. 1 let. a LEI</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d’L.________ est recevable.</w:t>
      </w:r>
    </w:p>
    <w:p>
      <w:r>
        <w:rPr>
          <w:b/>
        </w:rPr>
        <w:t>E. 2</w:t>
      </w:r>
    </w:p>
    <w:p>
      <w:r>
        <w:t>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w:t>
      </w:r>
    </w:p>
    <w:p>
      <w:r>
        <w:rPr>
          <w:b/>
        </w:rPr>
        <w:t>E. 2.1</w:t>
      </w:r>
    </w:p>
    <w:p>
      <w:r>
        <w:t>;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réf. cit., JdT 2015 I 115 p. 118).</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w:t>
      </w:r>
    </w:p>
    <w:p>
      <w:r>
        <w:rPr>
          <w:b/>
        </w:rPr>
        <w:t>E. 3.1</w:t>
      </w:r>
    </w:p>
    <w:p>
      <w:r>
        <w:t>L’appelant requiert deux mesures d’instruction.</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du 17 juillet 2020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w:t>
      </w:r>
    </w:p>
    <w:p>
      <w:r>
        <w:rPr>
          <w:b/>
        </w:rPr>
        <w:t>E. 3.3.1</w:t>
      </w:r>
    </w:p>
    <w:p>
      <w:r>
        <w:t>L’appelant requiert que les quatre ordonnances de condamnation rendues les 9 janvier 2013, 1 er mars 2013, 17 mars 2016 et 12 avril 2016 par le Ministère public du canton de Genève soient versées au dossier de la présente cause, afin d’établir, dans la perspective de l’examen de la quotité de sa peine, qu’il était essentiellement un consommateur de drogue et que ses infractions à la LStup, qui por­taient sur du cannabis et non sur des drogues « dures », étaient de peu d’impor­tance. En l’occurrence, les quatre ordonnances de condamnation pour délit à la LStup dont l’appelant demande la production sont inscrites dans son casier judiciaire et sont mentionnées dans le dossier le concernant qui a été produit par le SPOP (P. 50), si bien que cette réquisition n’est pas utile au traitement de l’appel, d’autant que l’infraction à la LStup à juger concerne des faits nou­veaux. Cette réquisition doit donc être rejetée, les conditions de l’art. 389 CPP n’étant pas remplies.</w:t>
      </w:r>
    </w:p>
    <w:p>
      <w:r>
        <w:rPr>
          <w:b/>
        </w:rPr>
        <w:t>E. 3.3.2</w:t>
      </w:r>
    </w:p>
    <w:p>
      <w:r>
        <w:t>L’appelant réitère en appel sa requête – rejetée par le Ministère public et par les premiers juges – tendant à ce que les données signalétiques concer­nant l’interdit d’entrée de 2019 soient retrouvées, puis compa­rées aux siennes. Il nie s’être trouvé en Suisse en mars 2019, s’être fait notifier en ses mains une interdiction d’entrée en Suisse valable du 22 mars 2019 au 21 mars 2022 et avoir transgressé cette interdiction en séjournant en Suisse. Il soutient que cette mesure administrative concernerait un autre homme usant comme lui du pseudonyme [...]. Par acte d’accusation du 4 août 2022, le Ministère public a rejeté une première fois l’administration de cette preuve, l’existence de données signalétiques recueillies lors de la notifica­tion de l’interdiction étant douteuse et le séjour illicite du prévenu ressortant de toute manière d’autres preuves au dossier. Le Tribunal correctionnel a rejeté cette même réquisition réitérée par le prévenu à l’ouverture des débats, consi­dérant que le prévenu avait admis s’être trouvé à [...] en juillet 2020, en mars et avril 2021, ainsi que deux mois avant son arrestation, que, lors de son premier séjour en Suisse, il s’était annoncé aux autorités suisses sous le nom de l’alias [...] pour obtenir l’asile et que l’on ignorait si les données signalétiques avaient été prises au moment du prononcé de la décision d’interdiction d’entrée en 2019. Selon le rapport d’investigation établi par la police le 19 novembre 2021, il est établi, grâce au système automatique de contrôle d’identification des empreintes digitales AFIS, qu’L.________, né le [...] 1993, était aussi connu sous l’identité de [...], né le [...] 1994, que le prénommé [...], qui n’avait aucun statut en Suisse, avait été valablement signalé sous renvoi au sens de la LAsi (Loi sur l’asile du 26 juin 1998 ; RS 142.31) par le canton de Zurich jusqu’au 8 février 2024 et qu’il faisait l’objet d’une interdiction d’entrée en Suisse notifiée valable du 22 mars 2019 au 21 mars 2022 (P. 4 pp. 4-5). Lors de son audition d’arrestation par le Ministère public le 19 novem­bre 2021, L.________ a dit qu’il ne savait pas s’il avait reçu cette interdiction d’entrée en Suisse valable du 22 mars 2019 au 21 mars 2022, mais que dans tous les cas, il ne lisait pas le français et qu’en 2019, il n’était pas en Suisse (PV aud. 2 ll. 108-111). Lors de son audition du 30 juin 2022 par le Ministère public, L.________ a expliqué ne pas avoir compris qu’il était sous interdiction, son avocate d’alors lui ayant dit que « ce n’était pas en vigueur » et qu’il pensait que l’obtention de documents d’identité portugais régulariserait sa situation et lui permettrait de revenir en Suisse (PV aud. 13 ll. 182-185). Ces explications, qui s’avèrent contradic­toires, reposent sur l’admission implicite, par le prévenu, du fait que cette interdiction d’entrée en Suisse lui avait été notifiée, interdiction dont il prétend aujourd’hui qu’elle aurait visé un homonyme. Une appréciation anticipée de la preuve requise par L.________ conduit à retenir qu’elle serait inutile, de sorte que la mesure d’instruction sollicitée doit être rejetée. La crédibilité du prévenu sera pour le surplus appréciée ci-après au regard de l’ensemble des résultats de l’instruction.</w:t>
      </w:r>
    </w:p>
    <w:p>
      <w:r>
        <w:rPr>
          <w:b/>
        </w:rPr>
        <w:t>E. 4.1</w:t>
      </w:r>
    </w:p>
    <w:p>
      <w:r>
        <w:t>Invoquant une constatation erronée des faits et une violation du droit, l’appelant critique les calculs effectués par les premiers juges pour déterminer la quantité totale minimale de cocaïne nette vendue et retrouvée à son domicile, ainsi que le poids des boulettes vendues et les taux de pureté moyenne retenus. Il invo­que ses propres versions des faits excluant notamment, selon lui, son implication dans le trafic litigieux pour une partie de la drogue trouvée à son domicile clandestin et fait valoir que la quantité finale de cocaïne pure qu’il aurait vendu ou eu l’intention de vendre s’élèverait à 189.1 grammes, aux taux de pureté moyenne de 57.7% et de 53.9%, tels qu’ils ressortent de l’analyse de la cocaïne saisie à son domicile. Il conteste le taux de pureté de 63% retenu par les premiers juges pour la totalité de la cocaïne vendue, arguant que les taux de pureté moyenne révélés lors des analyses de l’Ecole des sciences criminelles (ci-après : ESC), qui étaient inférieurs, devaient être retenus, qu’il convenait ainsi d’appliquer un taux de pureté de 57.7% pour la première livraison et un taux de pureté de 53.9% pour la seconde, que le Rapport européen sur les drogues 2021 indiquait pour la cocaïne un taux de pureté compris entre 53% et 68% en 2020 et que la cocaïne lui ayant été livrée en deux fois entre octobre et novembre 2021, il était peu probable que celle-ci revête une différence de pureté de plus de 10% entre les deux livraisons.</w:t>
      </w:r>
    </w:p>
    <w:p>
      <w:r>
        <w:rPr>
          <w:b/>
        </w:rPr>
        <w:t>E. 4.2</w:t>
      </w:r>
    </w:p>
    <w:p>
      <w:r>
        <w:t>Suivant l’accusation, les premiers juges ont retenu que le trafic de cocaïne du prévenu avait porté sur 325.2 grammes de cocaïne pure, savoir 211.8 grammes retrouvés au domicile du prévenu lors de la perquisition, au taux de pureté moyenne le plus favorable au prévenu ressortant des analyses effectuées par l’ESC sur la cocaïne saisie au domicile, soit 53.9%, et 113.4 grammes vendus à des toxicomanes en 225 boulettes de 0.8 grammes, au taux de pureté moyenne statistique le plus favorable au prévenu de 63%.</w:t>
      </w:r>
    </w:p>
    <w:p>
      <w:r>
        <w:rPr>
          <w:b/>
        </w:rPr>
        <w:t>E. 4.2.1</w:t>
      </w:r>
    </w:p>
    <w:p>
      <w:r>
        <w:t>Il convient tout d’abord de revenir sur la quantité de cocaïne trouvée au domicile d’L.________.               La fouille de son logement a permis la saisie de 499.7 grammes de poudre blanche (P. 4 p. 4), soit un sachet en plastique d’un poids brut de 12.6 gram­mes contenant des boulettes trouvé dans une veste, un sachet en plastique d’un poids brut de 83.24 grammes contenant de grosses boulettes trouvé dans la même veste et un sachet d’un poids brut indicatif de 403. 9 trouvé dans une chaussette placée dans la salle de bain (P. 8). En cours d’enquête (PV aud. 1 p. 5) et aux débats de première instance (jugement p. 6), le prévenu a soutenu qu’une partie des 463.4 grammes nets était à lui et que l’autre partie était destinée à quelqu’un d’autre, et qu’il devait garder cette autre partie de drogue jusqu’à ce que qu’une personne vienne la chercher, mais qu’il avait la possibilité d’alimenter ses propres ventes avec cette autre partie, si son propre stock de cocaïne était épuisé. Appréciant ces explications, les premiers juges ont considéré que le prévenu ne faisait pas que « conserver » les 403,9 grammes bruts retrouvés dans une chaussette noire à la salle de bain – un sachet en plastique contenant 4 gros parachutes –, mais qu’il détenait bien cette drogue pour la revendre, dès lors que son ADN avait été retrouvé sur les nœuds des 4 grands sachets de cocaïne et que cet élément démontrait qu’il avait lui-même emballé cette marchandise qu’il revendait ensuite en boulettes. Pour les premiers juges, la parade imaginée par le prévenu selon laquelle il avait changé les emballa­ges contenant la cocaïne pour restituer aux vendeurs ceux qu’ils avaient utilisés pour le transport et qu’ils reprenaient en repartant (PV aud. 11 p. 5 ; PV aud. 13 p. 5) est fantaisiste, comme l’avaient déjà souligné les enquêteurs dans leur rapport (P. 20/1 pp. 13 et 14). Aux débats d’appel le prévenu a confirmé que le livreur l’avait autorisé à se servir dans le stock de cocaïne retrouvé chez lui s’il était à court de drogue pour ses propres ventes. Dans la même lancée, l’appelant dit qu’il faut retrancher de son trafic la cocaïne destinée à ce prétendu tiers – 3 sachets sur 4 – qui ne lui apparte­nait pas. En réalité, cette drogue reconditionnée par le prévenu – une balance, du matériel de conditionnement pour la confection de boulettes et du bicarbonate de soude ont été trouvés à son domicile – et dissimulée par lui dans son logement était bien à sa disposition pour des opérations de trafic. Outre qu’elle n’a aucun sens, ni aucune logique de marché, la thèse du dépôt d’urgence en raison du prétendu désistement d’un tiers destinataire de cette drogue (PV aud. 1 p. 5 ; PV aud. 2 p. 2) ne repose sur aucun élément concret et manque singulièrement de précision – aucune indication sur le nom, l’adresse et le numéro de téléphone du tiers, ni sur les dates et les circonstances de ce dépôt – tout comme la thèse du reconditionne­ment par l’appelant de la drogue en sachet sur demande du livreur (PV aud. 11 p. 5 ; PV aud. 13 p. 5). La thèse de l’appelant ne résiste donc pas à l’examen. A l’évidence, le prévenu invente des faits invraisemblables, caractérisés par leur flou, pour tenter d’alléger sa culpabilité. Il n’est pas crédible. S’agissant d’une activité criminelle à plusieurs facettes s’étalant sur une certaine durée – de 2020 au 18 novembre 2021 –, le fait que le prévenu admette certaines charges ne signifie évidemment pas encore que ses dénégations distinctes sur d’autres points doivent être crues sur parole. En l’occurrence, cette question n’est quoi qu’il en soit pas déterminante puisque de toute manière, le crime à la LStup est réalisé tant par le fait de détenir de la drogue en pareille quantité destinée à la vente pour le compte d’un autre trafiquant que par le fait de la détenir pour la commer­cialiser soi-même. Dans son rapport d’investigation du 4 mai 2022, la police transpose, en se basant sur les analyses effectuées par l’ESC sur la cocaïne saisie au domicile du prévenu (P. 20/1 p. 14), les 463.4 grammes nets de cocaïne condition­nés en divers emballages en une quantité de cocaïne pure comprise entre 211.8 et 289.9 grammes (P. 20/1 p. 16). Or, le jugement, tout comme l’acte d’accusation, retient uniquement le chiffre le plus bas de la fourchette le plus favorable au prévenu, soit 211.8 grammes de cocaïne pure, qui constitue donc un minimum (jugement p. 18). Quoi qu’en dise l’appelant, il n’y a aucun motif de s’écarter des chiffres retenus dans ce rapport. La quantité de cocaïne saisie et le taux de pureté moyenne de 53.9% retenus par les premiers juges sont corrects et doivent ainsi être confirmés.</w:t>
      </w:r>
    </w:p>
    <w:p>
      <w:r>
        <w:rPr>
          <w:b/>
        </w:rPr>
        <w:t>E. 4.2.2</w:t>
      </w:r>
    </w:p>
    <w:p>
      <w:r>
        <w:t>Dans l’acte d’accusation, auquel se sont référés les premiers juges, il est reproché au prévenu d’avoir vendu 225 boulettes d’un poids de 0.8 à 0.9 gramme pièce, ce qui correspond à 180 grammes en tenant compte uniquement du poids le plus bas de 0.8 gramme. Aux débats de première instance, le prévenu a expressé­ment admis ces ventes (jugement p. 6). Le Tribunal a retenu ces faits à sa charge et, les ventes étant intervenues entre 2020 et 2021, a arrêté la quantité de cocaïne pure nette correspondante à 113.4 grammes, appliquant le taux de pureté moyenne annuel statistique le plus bas, soit 63 % (jugement p. 17). L’appelant revient sur ces chiffres. Il prétend qu’il faudrait prendre en considération le poids inférieur de 0.6 gramme de boulettes qui étaient en sa possession le jour de son interpellation le 18 novembre 2021. Ce moyen est vain. Non seulement il a admis la quantification ressortant de l’enquête et de ses propos au tribunal, mais celle-ci repose sur ses propres déclarations répétées (PV aud. 1 p. 5 ; PV aud. 2 p. 2), et confirmées à l’audience d’appel, selon lesquelles son fournisseur lui avait indiqué un poids de 0.8 à 0.9 gramme par boulette vendue au prix de 100 fr., lui-même disant aux consommateurs qu’il s’agissait de boulettes d’un gramme. Lors de son audition récapitulative du 30 juin 2022 par le Ministère public, il a indiqué qu’il vendait la cocaïne conditionnée en boulette d’un gramme (PV aud. 13 p. 5). Quant au taux de pureté des 225 boulettes vendues, dont la cocaïne n’a, par la force des choses, pas pu être analysée, il ne peut être fait référence, comme le soutient l’appelant, au taux de pureté moyenne des drogues saisies lors de l’interpellation du prévenu. En effet, selon la jurisprudence du Tribunal fédéral, lorsque la drogue n'est plus disponible pour une analyse, le taux de pureté peut être déterminé sans arbitraire, en l’absence d’autres éléments, sur une base statistique en référence au degré de pureté habituel sur le marché à l'époque et au lieu du trafic (cf. ATF 138 IV 100 consid. 3.5 ; TF 6B_504/2019 du 29 juillet 2019 consid. 2.1.1 ; TF 6B_965/2018 du 15 novembre 2018 ; TF 6B_940/2014 du 16 sep­tembre 2015 consid. 5.3.1 et les réf. cit. ; CAPE 336/2020 du 10 septembre 2020). Il est ainsi usuel de se fonder sur les tabelles établies par l’ESC, basées sur les statistiques produites par la Société suisse de médecine légale (TF 6B_965/2018 du 15 novem­bre 2018). Le Rapport européen sur les drogues 2021, qui n’a au demeurant aucun caractère contraignant pour l’autorité judiciaire, ne change rien à ce constat. Le taux de pureté moyenne statistique le plus bas de 63% retenu dans l’acte d’accusation et par les premiers juges doit ainsi être confirmé.</w:t>
      </w:r>
    </w:p>
    <w:p>
      <w:r>
        <w:rPr>
          <w:b/>
        </w:rPr>
        <w:t>E. 4.2.3</w:t>
      </w:r>
    </w:p>
    <w:p>
      <w:r>
        <w:t>En définitive, le trafic de cocaïne auquel s’est livré L.________ ayant porté sur 325.2 grammes de drogue pure au total, sa condamnation pour infraction grave à la LStup au sens des art. 19 al. 1 let. b à d, g et al. 2 let. a et b LStup doit être confirmée.</w:t>
      </w:r>
    </w:p>
    <w:p>
      <w:r>
        <w:rPr>
          <w:b/>
        </w:rPr>
        <w:t>E. 5.1</w:t>
      </w:r>
    </w:p>
    <w:p>
      <w:r>
        <w:t>Invoquant une constatation erronée des faits, l’appelant reproche aux premiers juges d’avoir retenu qu’il avait séjourné en Suisse durant une année entre 2020 et 2021. Il conteste sa condamnation pour infraction à la LEI, soutenant qu’il n’a pas séjourné plus de trois mois en Suisse durant les six mois ayant précédé son interpellation. Il fait valoir qu’il ne serait venu en Suisse en 2021 qu’à deux reprises, soit de mars à avril 2021, puis de début octobre au 18 novembre 2021, et qu’il aurait démontré qu’il ne se trouvait pas en Suisse entre avril/mai 2021 et octobre 2021, mais au Portugal, en Guinée ou au Luxembourg. Il conteste également être le dénommé [...] qui a fait l’objet d’une interdiction d’entrée en Suisse en 2019.</w:t>
      </w:r>
    </w:p>
    <w:p>
      <w:r>
        <w:rPr>
          <w:b/>
        </w:rPr>
        <w:t>E. 5.2</w:t>
      </w:r>
    </w:p>
    <w:p>
      <w:r>
        <w:t>;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5.2.1</w:t>
      </w:r>
    </w:p>
    <w:p>
      <w:r>
        <w:t>Aux termes de l’art. 115 al. 1 let. b LEI, est puni d’une peine privative de liberté d’un an au plus ou d’une peine pécuniaire quiconque séjourne illégalement en Suisse, notamment après l’expiration de la durée du séjour autorisé.</w:t>
      </w:r>
    </w:p>
    <w:p>
      <w:r>
        <w:rPr>
          <w:b/>
        </w:rPr>
        <w:t>E. 5.2.2</w:t>
      </w:r>
    </w:p>
    <w:p>
      <w:r>
        <w:t>L’art. 10 LEI, intitulé « Autorisation en cas de séjour sans activité lucrative », prévoit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est réservé (al. 2). L’art. 9 OASA (Ordonnance relative à l’admission, au séjour et à l’exercice d’une activité lucrative du 24 octobre 2007 ; RS 142.201), intitulé « Séjour sans déclaration d’arrivée », stipule que les étrangers sans activité lucrative en Suisse ne doivent pas être munis d’une autorisation ni déclarer leur arrivée si leur séjour n’excède pas trois mois sur une période de six mois à partir de leur entrée en Suisse (séjour non soumis à autorisation). La personne concernée doit fournir, si nécessaire, des documents pertinents pour attester la date d’entrée (al. 1). Les conditions d’entrée visées à l’art. 5 LEI doivent être remplies pendant toute la durée du séjour non soumis à autorisation (al. 2). Le séjour doit être interrompu après trois mois ; selon la pratique des autorités fédérales, une interruption n'est admise que si l'étranger séjourne au moins un mois à l'étranger. Plusieurs séjours sur une période de six mois sont possibles, pour autant que la durée maximale de la présence en Suisse ne dépasse pas trois mois (TF 6B_93/2021 du 6 octobre 2021 consid. 2.3 et réf. cit.).</w:t>
      </w:r>
    </w:p>
    <w:p>
      <w:r>
        <w:rPr>
          <w:b/>
        </w:rPr>
        <w:t>E. 5.2.3</w:t>
      </w:r>
    </w:p>
    <w:p>
      <w:r>
        <w:t>L’art. 5 LEI, qui traite des conditions d’entrée en Suisse, dispose que,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CP (Code pénal suisse du 21 décembre 1937 ; RS 311.0) ou 49a ou 49abis CPM (Code pénal militaire du 13 juin 1927 ; RS 321.0) (let. d).</w:t>
      </w:r>
    </w:p>
    <w:p>
      <w:r>
        <w:rPr>
          <w:b/>
        </w:rPr>
        <w:t>E. 5.3</w:t>
      </w:r>
    </w:p>
    <w:p>
      <w:r>
        <w:t>L’acte d’accusation retient qu’L.________ a séjourné en Suisse durant plus de trois mois sur une période de 180 jours entre l’année 2020 et son arrestation du 18 novembre 2021, alors qu’il ne disposait pas d’autorisation de séjour et qu’il faisait l’objet d’une interdiction d’entrée en Suisse valable du 22 mars 2019 au 21 mars 2022. Les premiers juges ont écarté les réfutations du prévenu en raison de contradictions et d’imprécisions dans ses déclarations, mais surtout en raison des déclarations des toxicomanes qui l’ont mis en cause. Ils ont également écarté la thèse de l’erreur sur la personne dénommée [...] interdite en Suisse du 22 mars 2019 au 18 mars 2022 avancée par le prévenu. S’agissant de l’interdiction d’entrée en Suisse, la thèse du prévenu selon laquelle il y aurait « erreur sur la personne » ne tient pas. Aux débats d’appel, L.________ a confirmé qu’il avait utilisé l’alias [...] pour demander l’asile à son arrivée en Suisse et, selon le système automatique de contrôle d’identifi­cation des emprein­tes digitales AFIS, [...] et L.________ sont la même personne (P. 4 p. 4). N.________ (PV aud. 8 R. 8) et R.________ (PV aud. 6 R. 6) ont reconnu L.________ sur une planche de photo­graphies comme étant leur vendeur [...]. Entre 2013 et 2018, le prévenu a été condamné en Suisse à trois reprises pour entrée illégale et à huit reprises pour séjour illégal, et il a fait l’objet de sept procédures de renvoi, la dernière fois le 2 juillet 2018, de sorte qu’il ne pouvait ignorer ce qu’il risquait lors de ses venues en Suisse en 2019, 2020 et 2021. Lors de son arrestation par la police le 18 novembre 2021, L.________ a déclaré, s’agissant de l’interdiction en Suisse qui lui avait été notifiée en 2019, qu’il pensait « qu’en revenant avec un passeport portugais, cela ne posait pas de problème » et que « les autres fois, le problème était que je n’avais qu’un titre de séjour portugais » (PV aud. 1 R. 15). Lors de son audition par le Ministère public le 19 novembre 2021, le prévenu a dit à ce propos : « je ne savais pas que je n’avais pas le droit de venir en Suisse (…) je ne sais pas si je l’ai reçue, mais si je l’ai reçue, je ne lis pas le français » (PV aud. 2, ll. 105 à 110). Pour la Cour de céans, il ne fait dès lors aucun doute que l’interdiction d’entrée en Suisse valable pendant trois ans dès le 22 mars 2019 concernait L.________ et qu’elle lui a été notifiée. Les séjours du prévenu en Suisse n’étaient pas « touris­tiques » ou « dépourvus d’activité lucrative », puisqu’il est venu en Suisse, comme il l’a déclaré, « pour chercher du boulot » (PV aud. 1 R. 14) ou « car je voulais travailler » (PV aud. 2 p. 3 in fine ). L.________ est donc venu en Suisse avec la ferme intention d’y exercer une activité lucrative, plus précisément de s’adonner au trafic de stupéfiants, de sorte que le but de son séjour – vendre de la drogue – était quoi qu’il en soit illicite – ce qu’il savait très bien (jugement p. 6) – et constituait, à lui seul, une menace grave pour la sécurité et l’ordre publics au sens de l’art. 5 al. 1 let. c LEI. Aussi, même si l’on ne devait retenir que les deux séjours de 2021 de durées variables admis par le prévenu, sa condamnation pour infraction à l’art. 115 al. 1 let. b LEI est justifiée. L’appelant n’est pas crédible lorsqu’il prétend, devant les premiers juges (jugement p. 5) comme devant la Cour de céans, que ses clients l’auraient confondu avec un autre vendeur. Les mises en cause de plusieurs clients toxico­manes du prévenu, lesquels l’ont formellement identifié sur une planche de photographies, attestent de la présence de celui-ci en Suisse durant plus de trois mois sur une période de six mois à compter de son entrée en Suisse. En effet, L.________ a vendu de la cocaïne à W.________ deux fois par semaine à [...] « durant l’ensemble de l’année 2020 » selon les déclarations de celle-ci (PV aud. 5 p. 3). P.________ a déclaré que le prévenu lui avait vendu de la cocaïne à [...] durant l’été 2021 (PV aud. 10 R. 8). Q.________ a indiqué que le prévenu et son comparse lui avaient vendu de la cocaïne entre le 1 er décembre 2019 et le 20 novembre 2021 et que si le prévenu n’était pas là tout le temps, il lui avait acheté de la cocaïne une fois par semaine pendant une année avant qu’il ne quitte la Suisse (PV aud. 4 R. 6). Aussi, la Cour de céans ne peut accorder aucun crédit aux déclarations du prévenu, lesquelles contiennent de nombreuses incohérences et sont contredites par plusieurs éléments au dossier. Quant aux pièces que le prévenu a produites en appel, elles n’excluent pas sa présence en Suisse, qui est avérée, tout au long de l’année 2020, en particulier avant qu’il n’obtienne la nationalité portugaise le 20 octobre 2020, ainsi qu’entre mars et avril 2021 et de fin septembre à son arrestation le 18 novembre 2021, et donc l’infraction à la LEI constatée. Partant, la condamnation d’L.________ pour infraction à l’art. 115 al. 1 let. b LEI doit être confirmée.</w:t>
      </w:r>
    </w:p>
    <w:p>
      <w:r>
        <w:rPr>
          <w:b/>
        </w:rPr>
        <w:t>E. 6.1</w:t>
      </w:r>
    </w:p>
    <w:p>
      <w:r>
        <w:t>L’appelant conteste la peine privative de liberté de 4 ans qui lui a été infligée et requiert que celle-ci soit réduite à 24 mois. Il soutient qu’il n’était qu’un apprenti et un simple exécutant dans le trafic de stupéfiants et qu’il s’adonnait à cette activité depuis peu de temps, relevant qu’il ne savait pas former correctement des boulettes, qu’il n’arrivait pas à les fermer et qu’il avait naïvement accepté de conser­ver chez lui 243.9 grammes de drogue pour un tiers. Il estime que son activité délictueuse est mineure, puisqu’il a vendu de la cocaïne uniquement à [...], soit dans un périmètre très restreint, qu’il n’avait aucun contact avec les autres protago­nistes de ce trafic et qu’il n’était qu’un « maillon faible » de l’organisation de celui-ci. Il observe que ses précédentes condamnations pour délits à la LStup étaient liées à son ancienne consommation régulière de cannabis, qui impliquait la possession de quantité non négligeable de ce stupéfiant. Il fait valoir qu’il a collaboré durant toute l’instruction, détaillant et expliquant spontané­ment les circonstances dans lesquelles il s’était embarqué dans cette activité, qu’il a fourni des aveux importants et qu’il a communiqué les montants qu’il avait perçus grâce à ses ventes et son bénéfice, alors que les autorités de poursuite disposaient de peu d’informations.</w:t>
      </w:r>
    </w:p>
    <w:p>
      <w:r>
        <w:rPr>
          <w:b/>
        </w:rPr>
        <w:t>E. 6.2.1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 pour la cocaïne, à partir de laquelle le cas doit être considéré comme grave au sens de l’art. 19 al. 2 let. a LStup. Le type de drogue et sa pureté doivent aussi être pris en considération (ATF 145 IV 312 consid. 2.1.1 ; ATF 138 IV 100 consid. 3.2 ; ATF 122 IV 299 consid. 2c ;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réf. cit.).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du 22 décembre 2021 consid. 3.2 ; TF 6B_227/2020 du 29 avril 2020 consid. 2.1 et réf. cit. ; TF 6B_1192/2019 du 23 janvier 2019 consid. 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w:t>
      </w:r>
    </w:p>
    <w:p>
      <w:r>
        <w:rPr>
          <w:b/>
        </w:rPr>
        <w:t>E. 6.3</w:t>
      </w:r>
    </w:p>
    <w:p>
      <w:r>
        <w:t>L.________ s’est rendu coupable de blanchiment d’argent, d’infraction grave à la LStup et d’infraction à la LEI. Comme on l’a vu, l’appelant plaide en vain que le trafic de stupéfiants auquel il s’est adonné aurait porté sur des quantités de cocaïne moins importantes que celles retenues par le Tribunal correctionnel. Ainsi, à l’instar des premiers juges, la Cour de céans retient que la culpabilité d’L.________ est très importante. Il est venu en Suisse uniquement pour se livrer à un trafic de drogue et a agi par appât du gain puisqu’il ne disposait d’aucune source de revenu licite au moment des faits. Lors de son arrestation, le prévenu disposait de 6'410 fr. et de 880 euros, et il détenait un passeport portugais grâce auquel il aurait eu la possibilité de travailler et de gagner sa vie en toute légalité dans toute l’Europe, excepté en Suisse. Il a déployé son activité délictueuse entre 2020 et 2021, et son trafic a porté sur un minimum de 325.2 grammes de cocaïne pure, quantité de drogue importante pouvant mettre en danger la santé et la vie de nombreuses personnes. Il a par ailleurs prêté sa carte d’identité portugaise à son fournisseur pour qu’il puisse venir en Suisse. Seule son interpella­tion a permis de mettre fin à son trafic. Parallèlement à son trafic de cocaïne, le prévenu a séjourné illégalement en Suisse, faisant fi de sept procédures de renvoi et d’une interdiction d’entrée en Suisse valable du 22 mars 2019 au 21 mars 2022. Déjà condamné à neuf reprises pour entrée et/ou séjour illégal en Suisse entre 2013 et 2018, et simultanément à quatre reprises pour délit à la LStup, le prévenu a été sanctionné cinq fois par une peine privative de liberté comprise entre 30 et 100 jours, peines demeurées sans effet sur son comportement délictueux. Niant l’évidence, le prévenu a continué, jusqu’en appel, à contester une partie des faits, ce qui dénote son absence de prise de conscience de la gravité des actes reprochés. Enfin, contrairement à ce qu’il soutient, le prévenu n’a pas collaboré durant l’instruction. Il a été mis en cause par des déclarations de ses comparses et de toxicomanes qui lui avaient acheté de la cocaïne et il n’a en particulier révélé aucun élément utile au démantèlement du réseau de trafiquants pour lequel il travaillait. Enfin, ses excuses étaient de circonstance et on ne discerne aucun élément à décharge, rien dans sa situation personnelle permettant de justifier ses agissements. L’infraction à la LStup, qui est l’infraction la plus grave, justifie à elle seule le prononcé d’une peine privative de liberté de 40 mois. Par l’effet du concours, cette peine doit être augmentée de 6 mois pour l’infraction à la LEI (soit 5 mois pour le séjour illégal du cas 1 et un mois pour le prêt de sa carte d’identité portugaise du cas 3) et de 2 mois pour le blanchiment d’argent. La peine privative de liberté d’en­semble arrêtée à 48 mois par les premiers juges sanctionne ainsi adéquatement le comportement délictueux du prévenu et doit être confirmée. La peine prononcée étant supérieure à trois ans, le prévenu ne remplit pas les condi­tions de l’octroi du sursis (cf. art. 42 al 1 et 43 al. 1 CP). Conformément à l’art. 51 CP, la détention subie par l’appelant depuis le jugement de première instance sera déduite de la peine privative de liberté prononcée contre lui.</w:t>
      </w:r>
    </w:p>
    <w:p>
      <w:r>
        <w:rPr>
          <w:b/>
        </w:rPr>
        <w:t>E. 7</w:t>
      </w:r>
    </w:p>
    <w:p>
      <w:r>
        <w:t>L’appelant ne s’oppose pas à son expulsion du territoire suisse pour une durée de 10 ans prononcée par les premiers juges. D’office, dans la mesure où que la condamnation d’L.________ pour infraction grave à la LStup est confirmée en appel, la Cour de céans relève que l’on se trouve dans un cas d’expulsion obligatoire (art. 66a al. 1 let. o CP). Le prévenu n’ayant pas de famille en Suisse où il ne s’est pas intégré et son épouse résidant en Guinée, il n’a aucune attache en Suisse, de sorte qu’il n’y a pas de raison de renoncer à son expulsion. Les conditions de la clause de rigueur de l'art. 66a al. 2 CP ne sont au surplus pas réunies. Aussi, l’absence de liens avec la Suisse et la gravité de l’infraction commise justifient une expulsion du territoire suisse d’une durée de 10 ans, conforme au principe de la proportionnalité. Pour garantir l’exécution de la peine et de l’expulsion et au vu notamment des risques de fuite et de réitération présentés, le maintien en détention d’L.________ à titre de sûreté doit être ordonné.</w:t>
      </w:r>
    </w:p>
    <w:p>
      <w:r>
        <w:rPr>
          <w:b/>
        </w:rPr>
        <w:t>E. 8</w:t>
      </w:r>
    </w:p>
    <w:p>
      <w:r>
        <w:t>En définitive, l’appel d’L.________ doit être rejeté et le jugement entrepris confirmé. Le défenseur d’office d’L.________ a produit une liste d’opérations (P. 54) faisant état de 16.35 h d’activité d’avocat breveté, dont il n’y a pas lieu de s’écarter. Ainsi, une indemnité d’un montant total de 3'491 fr. 45, montant corres­pondant à 16.35 h d’activité d’avocat breveté au tarif horaire de 180 fr., soit 2'943 fr., plus deux vacations à 120 fr., 58 fr. 85 de débours forfaitaires et 249 fr. 60 de TVA (art. 2 al. 1 let. a et 3bis al. 1 et al. 3 RAJ [Règlement sur l’assistance judiciaire en matière civile du 7 décembre 2019 ; BLV 211.02.3], applicables par renvoi de l’art. 26b TFIP [Tarif des frais de procédure et indemnités en matière pénale du 28 septembre 2010 ; BLV 312.03.1] ), doit être allouée à Me Irina Brodard-Lopez. Vu le sort de la cause, les frais de la procédure d’appel, par 7'051 fr. 45, constitués en l’espèce de l’émolument de jugement, par 3'560 fr. (art. 422 al. 1 CPP ; 21 al. 1 et 2 TFIP), ainsi que de l’indemnité allouée au défenseur d’office du prévenu, par 3'491 fr. 45, seront mis à la charge d’L.________, qui succombe (art. 428 al. 1 CPP). L.________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