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513 vom 21. Juli 2022</w:t>
      </w:r>
    </w:p>
    <w:p>
      <w:r>
        <w:t>VD Tribunal cantonal, 2022-07-21, FR</w:t>
      </w:r>
    </w:p>
    <w:p>
      <w:r>
        <w:rPr>
          <w:b/>
        </w:rPr>
        <w:t xml:space="preserve">Quelle: </w:t>
      </w:r>
      <w:r>
        <w:t>https://mcp.opencaselaw.ch/entscheid/vd_findinfo_Jug___2023___513</w:t>
      </w:r>
    </w:p>
    <w:p>
      <w:r>
        <w:t>FR: VD_FINDINFO Jug / 2023 / 513 du 21 juillet 2022</w:t>
      </w:r>
    </w:p>
    <w:p>
      <w:r>
        <w:t>IT: VD_FINDINFO Jug / 2023 / 513 del 21 luglio 2022</w:t>
      </w:r>
    </w:p>
    <w:p>
      <w:pPr>
        <w:pStyle w:val="Heading2"/>
      </w:pPr>
      <w:r>
        <w:t>Regeste</w:t>
      </w:r>
    </w:p>
    <w:p>
      <w:r>
        <w:t>CONSTATATION DES FAITS, PRÉSOMPTION D'INNOCENCE, EXPERTISE PSYCHIATRIQUE, RESPONSABILITÉ{DROIT PÉNAL}, FIXATION DE LA PEINE, PEINE PRIVATIVE DE LIBERTÉ, EXPULSION{DROIT PÉNAL}, ADMISSION DE LA DEMANDE, TRAITEMENT AMBULATOIRE, CONCOURS D'INFRACTIONS | 106 CP, 138 ch. 1 CP, 139 ch. 1 CP, 139 ch. 2 CP, 144 al. 1 CP, 160 ch. 1 CP, 180 al. 1 CP, 186 CP, 19 al. 2 CP, 2 CP, 285 ch. 1 CP, 40 CP, 49 al. 1 CP, 49 ch. 1 CP, 56 CP, 63 CP, 66a al. 2 CP, 66a CP, 19a ch. 1 LStup, 10 CPP (CH), 398 al. 3 let. a CPP (CH), 398 al. 3 let. b CPP (CH), 116 al. 1 let. a LEI</w:t>
      </w:r>
    </w:p>
    <w:p>
      <w:pPr>
        <w:pStyle w:val="Heading2"/>
      </w:pPr>
      <w:r>
        <w:t>Erwägungen</w:t>
      </w:r>
    </w:p>
    <w:p>
      <w:r>
        <w:rPr>
          <w:b/>
        </w:rPr>
        <w:t>E. 1</w:t>
      </w:r>
    </w:p>
    <w:p>
      <w:r>
        <w:t>Interjeté dans les formes et délais légaux par une partie ayant la qualité pour recourir contre le jugement d’un tribunal de première instance ayant clos la procédure (art. 398 al. 1 CPP [Code de procédure pénale suisse du 5 octobre 2007 ; RS 312.0]), l’appel de F.________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Invoquant une constatation erronée des faits, l’appelant conteste sa condamnation pour tentative de brigandage s’agissant du cas 2 de l’acte d’accu­sation du 21 mars 2022. Il reproche aux premiers juges d’avoir retenu la version du plaignant. Il explique que ce dernier n’a pas fait les mêmes déclarations à la police et à K.________, son parent d’accueil et que lui-même a toujours contesté avoir fait usage d’un couteau et indiqué opérer selon le même modus operandi s’agissant de l’interpellation en rue d’inconnus.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3.3</w:t>
      </w:r>
    </w:p>
    <w:p>
      <w:r>
        <w:t>Se rend coupable de brigandage au sens de l'art. 140 ch. 1 al. 1 CP quiconque commet un vol en usant de violence à l'égard d'une personne, en la menaçant d'un danger imminent pour la vie ou l'intégrité corporelle ou en la mettant hors d'état de résister. La notion de violence vise toute action physique immédiate sur le corps de la personne qui doit défendre la possession de la chose (ATF 133 IV 207 consid. 4.3.1 ; ATF 107 IV 107 consid. 3b et 3c ; TF 6B_199/2021 du 30 sep­tembre 2021 consid. 3.1.1).</w:t>
      </w:r>
    </w:p>
    <w:p>
      <w:r>
        <w:rPr>
          <w:b/>
        </w:rPr>
        <w:t>E. 3.4</w:t>
      </w:r>
    </w:p>
    <w:p>
      <w:r>
        <w:t>Z.________ a déposé plainte le lendemain des faits, soit le 6 octobre 2021, expliquant que le prévenu avait sorti de sa sacoche un couteau avec un manche rond et une lame apparente et que devant cette menace, il avait frappé le prévenu au visage avec son poing droit avant de quitter les lieux en courant (P. 4 p. 2). Lors de son audition du 23 décembre 2021 par la police, il a mentionné ce qui suit : « Concernant le couteau, le soir des faits, il a à peine eu le temps de le sortir que je lui ai envoyé un coup de poing dans le visage. ». Il a alors montré à la police une photographie d’un couteau ressemblant à ce qu’il avait vu, dont l’ensemble mesurait environ 20-25 cm (PV aud. 2 R. 5). Entendu par la police le 21 janvier 2022, le témoin K.________ a relaté ce que lui avait raconté Z.________ le soir des faits, précisant notamment ce qui suit : « Vous me demander quels détails Z.________ m’a donné sur son agression, il m’a expliqué que sur la rue [...], vers [...], il a croisé quelqu’un qui marchait sur le même trottoir. Au moment où ils se sont croisés, la personne s’est retournée et lui a touché l’épaule en lui demandant s’il avait de l’agent. Z.________ a répondu que non et à ce moment-là, la personne en question aurait mis sa main dans sa sacoche et Z.________ a vu ce qui lui a semblé être le manche d’un couteau. Pour vous répondre, Z.________ ne m’a pas décrit le couteau. » (PV aud. 6 R. 6). L’appelant a pour sa part toujours nié, dès sa première audition par la police le 28 décembre 2021 (PV aud. 4 R. 13), avoir sorti un couteau pour menacer le plaignant (PV aud. 5 ll. 58-59 et ll. 88-91). A l’audience d’appel du 14 décembre 2022, l’appelant a nié avoir menacé, le 5 octobre 2021, Z.________ avec un couteau. Z.________ est revenu sur ses précédentes déclarations, admettant qu’il n’avait jamais vu le prévenu brandir un couteau et qu’il n’avait pas vu de couteau (Jugement pp. 3-4). Au vu des différences constatées entre les déclarations antérieures du plaignant et celles du témoin K.________ à qui il avait relaté les faits le soir-même, la rétractation du plaignant au sujet de l’existence du couteau apparaît crédible. Dans ces conditions, la Cour de céans ne peut pas retenir que le prévenu a menacé le plaignant avec un couteau. Il s’ensuit que F.________ doit être libéré du chef de prévention de tentative de brigandage pour le cas 2 de l’acte d’accusation du 21 mars 2022.</w:t>
      </w:r>
    </w:p>
    <w:p>
      <w:r>
        <w:rPr>
          <w:b/>
        </w:rPr>
        <w:t>E. 3.4.2</w:t>
      </w:r>
    </w:p>
    <w:p>
      <w:r>
        <w:t>; ATF 144 IV 332 consid. 3.3.1). Selon la jurisprudence du Tribunal fédéral (ATF 146 IV 105 consid. 3.4 ; ATF 144 IV 332 consid. 3.3.2), il convient de s'inspirer des critères énoncés à l'art. 31 de l'Ordon- 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147 IV 453 consid. 1.4.5 ;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147 IV 453 consid. 1.4.5 ; TF 6B_550/2023 du 25 octobre 2023 consid. 3.1.2).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 plus récemment TF 6B_153/2020 du 28 avril 2020 consid. 1.3.2). Un séjour légal de dix années suppose en principe une bonne intégration de l’étranger (ATF 144 I 266 consid. 3.9). L'expulsion d'un individu étant né et ayant passé toute son existence en Suisse, jusqu'à l'âge adulte, ne peut que causer à celui-ci une atteinte à son droit au respect de sa vie privée, cela indépendamment de sa situation personnelle et familiale (cf. TF 6B_153/2020 précité consid. 1.3.4).</w:t>
      </w:r>
    </w:p>
    <w:p>
      <w:r>
        <w:rPr>
          <w:b/>
        </w:rPr>
        <w:t>E. 4.1</w:t>
      </w:r>
    </w:p>
    <w:p>
      <w:r>
        <w:t>L’appelant étant libéré en appel du chef de prévention de tentative de brigandage, il convient d’examiner d’office la peine infligée par les premiers juges.</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1169 ; ATF 141 IV 61 consid. 6.1.1 et réf. cit.).</w:t>
      </w:r>
    </w:p>
    <w:p>
      <w:r>
        <w:rPr>
          <w:b/>
        </w:rPr>
        <w:t>E. 4.2.2</w:t>
      </w:r>
    </w:p>
    <w:p>
      <w:r>
        <w:t>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Un tel procédé permet de tenir compte de la diminution de la responsabilité, sans lui attribuer une signification excessive (ATF 136 IV 55 consid. 5.6). En présence d’une diminution de responsabilité pénale, le juge doit ainsi procéder en deux étapes.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(ATF 136 IV 55 consid. 5.7 ; TF 6B_746/2022 du 30 mars 2023 consid. 4.2 ; TF 6B_151/2022 du 10 novembre 2022 consid. 2.2).</w:t>
      </w:r>
    </w:p>
    <w:p>
      <w:r>
        <w:rPr>
          <w:b/>
        </w:rPr>
        <w:t>E. 4.2.3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TF 6B_631/2021 du 7 février 2022 consid. 1.2 ; TF 6B_183/2021 du 27 octobre 2021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 ; ATF 144 IV 217, JdT 2018 IV 335 ; ATF 142 IV 265 consid. 2.3.2 ; ATF 138 IV 120 consid. 5.2 ;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w:t>
      </w:r>
    </w:p>
    <w:p>
      <w:r>
        <w:rPr>
          <w:b/>
        </w:rPr>
        <w:t>E. 4.2.4</w:t>
      </w:r>
    </w:p>
    <w:p>
      <w:r>
        <w:t>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4.3</w:t>
      </w:r>
    </w:p>
    <w:p>
      <w:r>
        <w:t>F.________ doit être sanctionné pour de multiples infractions contre le patrimoine, la liberté et l’autorité publique, soit pour abus de confiance (art. 138 ch. 1 CP), vol par métier (art. 139 ch. 2 CP), dommages à la propriété (art. 144 al. 1 CP), recel (art. 160 ch. 1 CP), menaces (art. 180 al. 1 CP), violation de domicile (art. 186 CP), violences ou menaces contre les fonctionnaires (art. 285 ch. 1 CP), contravention à la LStup (art. 19a LStup) et incitation au séjour illégal (art. 116 al. 1 let. a LEI). Il s’en est notamment pris à des personnes vulnéra­bles. Le prévenu s’est rendu au domicile de ses victimes plusieurs fois et s’en est pris à quatre reprises à la même victime âgée de 92 ans qui était incapable de résister. Ses antécédents sont défavorables puisqu’il a déjà été condamné à quatre reprises entre 2006 et 2017, notamment pour des infractions de nature patrimoniale. De plus, les trois jours passés en détention provisoire en décembre 2020 n’ont pas dissuadé le prévenu de récidiver à de nombreuses reprises et de poursuivre ses agissements délictueux alors qu’il avait reçu l’acte d’accusation du 19 novembre 2021 qui le renvoyait en jugement devant le Tribunal correctionnel. Seule son arrestation le 28 décembre 2021 a permis de mettre un terme à son activité délictueuse dont la gravité s’était intensifiée, puisque le 26 novembre 2021, le prévenu s’était muni d’un couteau. Durant l’instruction, le prévenu s’est borné à justifier son comportement par le trouble psychotique qui lui avait été diagnostiqué et par ses consommations de drogues et d’alcool. A charge, il y a également lieu de tenir compte du concours d’infractions, dont la multiplicité témoigne de son absence de toute considération pour l’ordre juridique suisse. A décharge, il y a lieu de tenir compte d’une légère diminution de responsabilité attestée par les experts dans leur rapport du 26 juillet 2023 (P. 85). La Cour de céans considère, compte tenu de l’ensemble des éléments susmentionnés, que la culpabilité du prévenu est lourde. Elle ne sera toutefois qualifiée que de moyenne à lourde eu égard à la légère diminution de responsabilité du prévenu. On ne discerne aucun autre élément à décharge. Pour des motifs de prévention spéciale, une peine privative de liberté s’impose pour sanctionner les infractions commises, alors même que les dispositions légales prévoient alternativement une peine privative de liberté ou une peine pécuniaire, le prévenu ayant agi de manière répétée durant la période pénale considérée et ayant commis douze nouvelles infractions alors qu’il savait qu’une enquête pénale avait été ouverte à son encontre. Il convient de fixer une peine d’ensemble en partant de l’infraction abstraitement la plus grave, soit le vol par métier (cas 2, 3, 4, 7, 9, 12, 13, 14 acte d’accusation du 19 novembre 2021 et cas 4 acte d’accusation du 21 mars 22), dont les neuf épisodes justifient une peine globale de 9 mois. Par l’effet du concours, cette peine privative de liberté sera augmentée d’un mois afin de sanctionner l’abus de confiance (cas 6 acte d’accusation du 19 novembre 2021) et d’un mois pour le recel (cas 10 acte d’accusation du 19 novembre 2021). La peine doit encore être aggravée par l’effet du concours de 5 mois pour les cinq épisodes de violation de domicile (cas 2, 7, 12, 13 et 14 acte d’accusation du 19 novembre 2021), d’un mois pour les violences ou menaces contre les fonctionnaires du cas 5 de l’acte d’accusation du 19 novembre 2021, d’un mois pour les dommages à la propriété (cas 8 acte d’accusation du 19 novembre 2021) et d’un mois pour les menaces (cas 3 acte d’accusation du 21 mars 2022). Par l’effet du concours, la peine privative de liberté doit enfin être augmentée d’un mois pour l’incitation au séjour illégal (cas 1 acte d’accusation du 19 novembre 2021). La peine privative de liberté d’ensemble arrêtée à 20 mois par les premiers juges sanctionne ainsi adéquatement le comportement délictueux du prévenu et doit être confirmée. Au vu du risque élevé de récidive constaté par les experts et des antécédents du prévenu, le pronostic est défavorable. Partant, la peine sera ferme afin d’atteindre le but d’amendement durable recherché. Compte tenu de la situation personnelle et de la culpabilité de l’appelant, l’amende de 300 fr. réprimant la contravention à la LStup (cas 1 acte d’accusation du 21 mars 2022) est adéquate et sera confirmée. La conversion de l’amende en une peine privative de liberté de substitution de 3 jours en cas de non-paiement fautif (art. 106 al. 3 CP) peut également être confirmée.</w:t>
      </w:r>
    </w:p>
    <w:p>
      <w:r>
        <w:rPr>
          <w:b/>
        </w:rPr>
        <w:t>E. 5.1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En vertu de l'art. 63 al. 1 CP, un traitement ambulatoire peut être ordonné lorsque l’auteur souffre d’un grave trouble mental, est toxicodépendant ou souffre d’une autre addiction, si, d'une part, l'acte punissable est lié à ce trouble mental ou à cette addiction (let. a) et si, d'autre part, il est à prévoir que le traitement détournera l'auteur d'autres infractions en relation avec son état (let. b). La mesure est ordonnée sans égard au type et à la durée de la peine prononcée. Sont déterminants l'état des facultés mentales de l'auteur ainsi que l'impact de la mesure sur le risque de commission d'autres infractions (ATF 143 IV 445 consid. 2.2 ; ATF 136 IV 156 consid. 2.3).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ainsi que sur les possibilités de faire exécuter la mesure (art. 56 al. 3 CP). L'expert devra ainsi se prononcer, en particulier, sur la forme du traitement et la mesure qui lui semble la plus appropriée (TF 6B_28/2017 du 23 janvier 2018 consid. 3.3.3 ; TF 6B_133/2017 du 12 janvier 2018 consid. 1.2). A l'instar des autres moyens de preuve, le juge apprécie librement la force probante de l'expertise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(ATF 142 IV 49 consid. 2.1.3 ; ATF 142 II 355 consid. 6).</w:t>
      </w:r>
    </w:p>
    <w:p>
      <w:r>
        <w:rPr>
          <w:b/>
        </w:rPr>
        <w:t>E. 5.2</w:t>
      </w:r>
    </w:p>
    <w:p>
      <w:r>
        <w:t>Dans leur rapport du 26 juillet 2023 (P. 85), les experts ont diagnostiqué un trouble mixte de la personnalité à traits immatures, impulsifs et dyssociaux et des troubles mentaux et du comportement liés à l’utilisation de drogues multiples et d’autres substances psychoactives, associés à un syndrome de dépen­dance, abstinent dans un environnement protégé. Le risque de commission de nouvelles infractions similaires est considéré comme élevé par les experts. Ceux-ci préconisent un suivi psychiatrique et psychothérapeutique intégré de nature ambulatoire, comportant un abord pharmacologique et psychothérapeutique, ainsi qu’un volet addictologique spécifique, lequel pourrait permettre de limiter les risques de récidive. Selon les experts, un traitement thérapeutique ambulatoire au sens de l’art. 63 CP paraît ainsi indiqué. Au 10 juillet 2023, l’appelant avait purgé l’intégralité de la peine privative de liberté prononcée. A l’audience d’appel du 21 novembre 2023, l’appelant a déclaré qu’il n’était pas opposé à la mesure de traitement ambulatoire préconisée par les experts et qu’il adhérait à un tel suivi psychiatrique. Les conclusions expertales sont claires et il n’y a pas lieu de s’en écarter. L’appelant, désormais conscient de ses troubles et des conséquences néfastes de sa consommation de drogues et d’alcool sur son comportement, adhère à son suivi thérapeutique, lequel est nécessaire à son bon encadrement médical et social, à la stabilisation de ses troubles et au contrôle de ses addictions, le risque de récidive étant important. Le suivi d’un traitement thérapeutique ambulatoire par l’appelant permettra une prise de conscience de la gravité de ses comportements illégaux. Il convient dès lors d’ordonner que F.________ soit soumis à un traitement thérapeutique ambulatoire, comportant un abord pharmaco­logique, psychothérapeutique et addictologique spécifi­que, au sens de l’art. 63 CP, et de compléter le jugement entrepris dans ce sens.</w:t>
      </w:r>
    </w:p>
    <w:p>
      <w:r>
        <w:rPr>
          <w:b/>
        </w:rPr>
        <w:t>E. 6.1</w:t>
      </w:r>
    </w:p>
    <w:p>
      <w:r>
        <w:t>Invoquant le cas de rigueur et la protection de sa vie privée et familiale garantie par la CEDH, l’appelant conteste son expulsion du territoire suisse. Il explique qu’il est arrivé en Suisse à l’âge de 11 mois, qu’il n’a jamais vécu en Italie où il n’a plus de famille et qu’il ne pourrait y être intégré professionnellement puisqu’il est au bénéfice d’une rente AI.</w:t>
      </w:r>
    </w:p>
    <w:p>
      <w:r>
        <w:rPr>
          <w:b/>
        </w:rPr>
        <w:t>E. 6.2</w:t>
      </w:r>
    </w:p>
    <w:p>
      <w:r>
        <w:t>Selon l'art. 66a al. 1 CP, l'expulsion du territoire suisse pour une durée de cinq à quinze ans doit être ordonnée à l'égard de l'étranger qui est condamné pour l'une des infractions énumérées aux lettres a à o de cette disposition,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 La clause de rigueur de l'art. 66a al. 2 CP permet de garantir le principe de la proportionnalité (art. 5 al. 2 Cst.). Elle doit être appliquée de manière restrictive (ATF 146 IV 105 consid.</w:t>
      </w:r>
    </w:p>
    <w:p>
      <w:r>
        <w:rPr>
          <w:b/>
        </w:rPr>
        <w:t>E. 6.3</w:t>
      </w:r>
    </w:p>
    <w:p>
      <w:r>
        <w:t>L’appelant, ressortissant italien célibataire et sans enfant, est né le [...] 1979 en Argentine. Il est arrivé en Suisse avec sa famille à l’âge de 11 mois et a suivi toute sa scolarité dans la région de [...]. Il est au bénéfice d’un permis d’établissement. Ses parents et ses frères et sœurs habitent en Suisse. Le prévenu parle italien, mais il n’entretient aucun lien social ou familial avec son pays d’origine dans lequel il n’a jamais vécu et où aucun membre de sa famille ne vit. Ainsi, toute sa famille vit en Suisse où il est intégré socialement, bénéficie d’une rente AI depuis plusieurs années et d’une curatelle de représentation et de gestion depuis 2018, et suit un traitement thérapeutique depuis de nombreux mois. En outre, de l’avis des experts, le traitement ambulatoire ordonné est de nature à limiter le risque de récidive de l’appelant. L’effet préventif sur le comportement du prévenu du suivi du traitement ordonné est donc incontestable. Vu son état de santé psychique fragile, un éloignement de la Suisse serait de nature à le déstabiliser et à porter atteinte à son droit à la vie privée, puisque le soutien de ses proches ne serait plus garanti. Tout bien considéré, l’intérêt privé du prévenu à demeurer en Suisse l’emporte sur l’intérêt public à son expulsion. Il convient dès lors de renoncer à l’expulsion de F.________ du territoire suisse.</w:t>
      </w:r>
    </w:p>
    <w:p>
      <w:r>
        <w:rPr>
          <w:b/>
        </w:rPr>
        <w:t>E. 7</w:t>
      </w:r>
    </w:p>
    <w:p>
      <w:r>
        <w:t>En définitive, l’appel de F.________ doit être admis et le jugement entrepris réformé dans le sens des considérants qui précèdent. Le défenseur d’office de F.________ a produit une liste d’opérations (P. 88) qui fait état de 20h45 d’activité d’avocat, dont il n’y a pas lieu de s’écarter si ce n’est pour réduire de 45 minutes le temps consacré à l’audience d’appel pour tenir compte du temps effectif de celle-ci et pour allouer des débours forfaitaires au taux de 2%. Ainsi, une indemnité d’un montant total de 4'471 fr. 70, montant correspondant à 20h d’activité d’avocat breveté au tarif horaire de 180 fr., soit 3’600 fr., plus 4 vacations à 120 fr., 72 fr. de débours forfaitaires et 319 fr. 70 de TVA (art. 2 al. 1 let. a et 3bis al. 1 et al. 3 RAJ [Règlement sur l’assistance judiciaire en matière civile du 7 décembre 2019 ; BLV 211.02.3], applicables par renvoi de l’art. 26b TFIP [Tarif des frais de procédure et indemnités en matière pénale du 28 septembre 2010 ; BLV 312.03.1]), doit être allouée à Me Marina Kilchenmann, à la charge de l’Etat. Les frais de la procédure d’appel, par 16'381 fr. 70, sont constitués en l’espèce de l’émolument de jugement, par 3'660 fr., et de l’émolument de la décision ordonnant la mise en œuvre d’une expertise psychiatrique, par 450 fr. (art. 21 al. 1 et 2 TFIP), des frais d’expertise, par 7'800 fr., ainsi que de l’indemnité allouée au défenseur d’office de F.________, par 4'471 fr. 70,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