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512 vom 8. Februar 2023</w:t>
      </w:r>
    </w:p>
    <w:p>
      <w:r>
        <w:t>VD Tribunal cantonal, 2023-02-08, FR</w:t>
      </w:r>
    </w:p>
    <w:p>
      <w:r>
        <w:rPr>
          <w:b/>
        </w:rPr>
        <w:t xml:space="preserve">Quelle: </w:t>
      </w:r>
      <w:r>
        <w:t>https://mcp.opencaselaw.ch/entscheid/vd_findinfo_Jug___2023___512</w:t>
      </w:r>
    </w:p>
    <w:p>
      <w:r>
        <w:t>FR: VD_FINDINFO Jug / 2023 / 512 du 8 février 2023</w:t>
      </w:r>
    </w:p>
    <w:p>
      <w:r>
        <w:t>IT: VD_FINDINFO Jug / 2023 / 512 del 8 febbraio 2023</w:t>
      </w:r>
    </w:p>
    <w:p>
      <w:pPr>
        <w:pStyle w:val="Heading2"/>
      </w:pPr>
      <w:r>
        <w:t>Regeste</w:t>
      </w:r>
    </w:p>
    <w:p>
      <w:r>
        <w:t>CONSTATATION DES FAITS, LÉSION CORPORELLE SIMPLE, VOIES DE FAIT, INDEMNITÉ{EN GÉNÉRAL}, FRAIS DE LA PROCÉDURE, ADMISSION PARTIELLE, PRÉSOMPTION D'INNOCENCE, APPRÉCIATION DES PREUVES | 123 ch. 1 CP, 10 CPP (CH), 398 al. 3 let. b CPP (CH), 427 al. 2 CPP (CH), 429 al. 1 let. a CPP (CH), 432 al. 2 CPP (CH), 433 al. 1 CPP(CH)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Invoquant une constatation erronée des faits et la violation du droit qui en découle, l’appelante conteste les faits en lien avec l’altercation du 30 avril 2020 retenus par le premier juge. Elle soutient que sa version des faits aurait dû être préférée à celle de V.________, les déclarations de cette dernière étant dénuées de toute crédibilité. Elle reproche au premier juge de ne pas avoir relevé les incohérences des récits de V.________ et de T.________ s’agissant du déroulement des faits, ni la constance de son récit, appuyé par le témoignage de O.________. L’appelante soutient avoir été projetée au sol par V.________ qui se serait ensuite assise à califourchon sur elle avant de saisir sa tête à deux mains pour la cogner à plusieurs reprises violemment sur le bitume, lui provoquant le traumatisme crânien, les fractures dentaires et l’atteinte à la langue constatés par certificat médical. Dans de longs développements sur les différentes déclarations figurant au dossier, l’appelante explique en quoi sa version des faits devrait être privilégiée. Elle fait également valoir que la nature des lésions qui lui ont été infligées démontre que sa tête a, comme elle l’affirme, été frappée au sol à plusieurs reprises et que cette agression violente établit la volonté de la prévenue de provoquer des lésions corporelles graves, infraction qui aurait dû être retenue au stade de la tentative.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w:t>
      </w:r>
    </w:p>
    <w:p>
      <w:r>
        <w:rPr>
          <w:b/>
        </w:rPr>
        <w:t>E. 3.3</w:t>
      </w:r>
    </w:p>
    <w:p>
      <w:r>
        <w:t>S’agissant de l’altercation du 30 avril 2020, après avoir apprécié les différents moyens de preuve à disposition, à savoir essen­tiellement les déclarations des différents protagonistes et de la témoin O.________ – voisine de Q.________ avec qui celle-ci n’avait aucun lien particulier –, le premier juge a considéré qu’il n’était pas établi que V.________ avait saisi l’appelante par la tête avec ses deux mains pour la frapper à cinq ou six reprises contre le sol (jugement p. 33). Cette appréciation ne prête pas le flanc à la critique et doit être confirmée. En effet, l’appelante fait grand cas des gestes en question pour tenter de démontrer la violence de l’altercation telle qu’elle l’a relatée et la volonté de V.________ de provoquer des lésions corporelles graves. Or, les constats médicaux pro­duits au dossier n’attestent pas de la présence de telles lésions, en particulier d’un traumatisme crânien, ce qui est décisif. Le constat médical établi le 1 er mai 2020 par l’Unité de médecine des violences du CURML (P. 6) ne mentionne pas la moindre ecchymose ou la moindre griffure, ni la moindre marque à l’arrière de la tête de Q.________ qui aurait pu suggérer l’existence des faits qu’elle dénonce. Le document médical établi le 1 er mai 2020 par le Service des urgences des EHNV (P. 55) relève par ailleurs que Q.________ n’a souffert d’aucune perte de connaissance et qu’elle n’a pas présenté de nausées ni de vomis­sements. Le certificat médical établi le 19 décembre 2022, soit plus de 2 ans et demi après les faits, par la Dre [...] (P. 55), ne fournit aucun élément significatif à même de confirmer la version des faits présentée par l’appelante. Quant aux deux constats médicaux produits à l’audience d’appel (P. 98 et P. 99), ils attestent de la présence d’une perte de sensibilité de la lèvre inférieure et de la langue avec une persistance de l’hypoesthésie de la partie distale de la langue versant dorsale et ventral, ainsi que d’une hémorragie sous conjonctivale qui s’est résorbée toute seule, mais ils ne changent rien aux constats opérés ci-avant. Si l’on ne peut exclure le moindre contact entre l’arrière de la tête de l’appelante et le sol en bitume compte tenu de la position de l’appelante qui se trouvait allongée sur le dos alors que V.________ était simultanément assise à califourchon sur elle, l’absence de toute lésion à l’arrière du crâne de la victime démontre à tout le moins que ces contacts n’ont pas eu objectivement la violence que l’appelante décrit. Surtout, si les faits s’étaient produits avec la violence relatée par l’appelante, des lésions visibles à l’arrière de la tête seraient immanquablement survenues. L’appelante a en effet déclaré : « Au sol elle s'est directement mise sur moi et savait très bien ce qu'elle voulait faire. Pour vous répondre, elle était face à moi et m'a prise au niveau des épaules pour me jeter au sol. A ce moment-là mon dos et l'arrière de ma tête ont heurté le sol. J'étais sonnée. V.________ s'est assise sur moi et a pris ma tête pour la fracasser sur le sol. Pour vous répondre, elle l'a fait avec les deux mains par les cheveux. Vous me demandez à combien de reprises elle a frappé ma tête contre le sol. Je ne peux pas vous donner de chiffre mais c'était au moins cinq ou six fois. J'ai senti qu'à la fois suivante, mon crâne allait s'ouvrir. » (PV aud. 17, ll. 60 à 65). Quant à la témoin O.________, voisine de Q.________, ne connaissant pas V.________, et dont il n’y a pas lieu de douter de la crédibilité des déclarations constantes et mesurées, elle n’a à aucun moment dit avoir vu la tête de Q.________ frapper le sol. La violence des actes commis par V.________, telle qu’alléguée par l’appelante, n’étant pas avérée, l’intention de la prévenue d’infliger des lésions corporelles graves ne peut être considérée comme établie, même au stade du dol éventuel. Aussi, force est de constater que l’instruction n’a pas permis de révéler l’existence d’éléments de preuve objectifs permettant d’accréditer la version des faits présentée par l’appelante. Partant, la Cour de céans considère, avec le premier juge, qu’il n’est pas établi que V.________ a projeté « violemment » Q.________ au sol et qu’elle a saisi sa tête avec les deux mains pour la frapper à cinq ou six reprises sur le bitume. Au vu de ce qui précède, il n’y a pas lieu de s’écarter de l’état de fait retenu par le premier juge et la condamnation de V.________ pour lésions corporelles simples doit être confirmée. Mal fondés, les griefs invoqués par l’appelante doivent tous être rejetés. 4. 4.1 L’appelante reproche ensuite au premier juge d’avoir libéré V.________ du chef de prévention de voies de fait. Elle fait valoir que V.________ l’a projetée sans raison au sol et que ce geste serait constitutif de voies de fait au regard de la jurisprudence. 4.2 Contrairement à ce que soutient l’appelante, il ne se justifie pas de distinguer les différentes phases de l’attaque qu’elle a subie le 30 avril 2020 pour les qualifier chacune séparément. Au contraire, s’agissant d’actes relevant du même complexe de faits, sans rupture temporelle, et portant atteinte au même bien juridiquement protégé, à savoir l’intégrité corporelle, il faut chercher à se représenter l’intention poursuivie par V.________, ce qui doit conduire à appréhender son comportement comme un schéma unique d’agression. Le fait que V.________ ait poussé l’appelante est effectivement consti­tutif de voies de fait, mais ces voies de fait sont absorbées par les lésions corporelles simples, dès lors que la chute qui en a résulté était à même de les provoquer et que l’intention poursuivie par V.________ allait bien au-delà de la commission de simples voies de fait. La libération de V.________ du chef d’accusation de voies de fait doit ainsi être confirmée. 5. 5.1 Invoquant un défaut de motivation et une violation du droit, l’appelante reproche au premier juge d’avoir mis un quinzième des frais communs de la cause, par 1'249 fr. 60, à sa charge, y compris une part des indemnités des défenseurs d’office de V.________ et de T.________, et d’avoir ainsi violé son droit d’être entendue. 5.2 5.2.1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En vertu de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(TF 6B_459/2022 du 20 mars 2023 consid. 2.1 et la jurisprudence citée). 5.2.2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 e éd., Bâle 2016, nn. 6 ss ad art. 80 CPP).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5.3 5.3.1 Le premier juge a mis trois cinquièmes des frais communs à la charge de V.________, un cinquième des frais communs à la charge de T.________ et un quinzième des frais communs chacune à la charge de l’appelante, de B.X.________ et de A.X.________, y compris deux quinzièmes chacune des indemnités des défenseurs d’office de V.________ et de T.________ à la charge de l’appelante, de A.X.________ et de B.X.________, V.________ devant assumer les trois cinquièmes de l’indemnité de son défenseur d’office et T.________ un cinquième de l’indemnité de son défenseur d’office. Le solde des frais a été laissé à la charge de l’Etat. En l’espèce, l’appelante a non seulement déposé plainte contre V.________ et contre T.________, lesquelles ont été acquittées d’une partie des accusations portées contre elles, mais elle a également pris part activement à la procédure en participant aux débats devant le Tribunal de police, en requérant la condamnation de ces deux prévenues et en formulant des prétentions en réparation du tort moral subi de 3'000 fr. à l’encontre V.________ (jugement p. 19), allouées à hauteur de 1'000 francs. L’appelante a également réclamé l’allocation d’une indem­nité au sens de l’art. 429 CPP à la charge de l’Etat, subsidiairement d’une indemnité au sens de l’art. 433 CPP à la charge de V.________ et de T.________ (jugement p. 20). Q.________ a donc la qualité de partie plaignante, et non de simple plaignante. La condition de la témérité ou de la négligence grave ne s'appli­que pas. N’ayant pas obtenu entièrement gain de cause, l’appelante doit ainsi assumer une partie des frais de justice, dont font partie les indemnités des défen­seurs d’office de V.________ et de T.________ (art. 422 al. 2 let. a CPP), en lien avec les infractions dénoncées qui ne sont pas retenues, en application de l’art. 427 al. 2 let. a CPP. Les proportions d’un quinzième des frais communs et de deux quinzièmes des indemnités des défenseurs d’office de V.________ et de T.________ apparaissent parfaitement adéquates et peuvent être confirmées, étant rappelé que T.________ est entièrement acquittée s’agissant des dénonciations de l’appelante. 5.3.2 En définitive, il faut considérer d’une part que le grief du défaut de motivation est vain, puisque le jugement entrepris est correctement motivé (jugement pp. 36 et 37). D’autre part, l’autorité d’appel disposant d’un plein pouvoir de cognition, d’éventuelles lacunes peuvent être complétées en deuxième instance de manière à réparer une éventuelle violation du droit d’être entendu de l’appelante, la motivation qui précède ayant le cas échéant réparé un éventuel vice à cet égard. Mal fondés, les moyens soulevés par l'appelante doivent être rejetés. 6. 6.1 L’appelante reproche encore au premier juge de ne pas lui avoir accordé l’entier de l’indemnité qu’elle réclamait au titre de l’art. 429 CPP. Elle fait valoir qu’une telle indemnité devait lui être accordée dès lors que les prévenues V.________ et T.________ sont dépourvues de moyens financiers suffisants pour l’assumer. Subsidiairement, l’appelante demande l’allocation d’une pleine indemnité au sens de l’art. 433 CPP, à la charge de V.________ à hauteur de 90% et de T.________ à hauteur de 10%. 6.2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Lorsque la partie plaignante ou le plaignant supporte les frais en application de l'art. 427 al. 2 CPP, une éventuelle indemnité allouée au prévenu peut en principe être mise à la charge de la partie plaignante ou du plaignant en vertu de l'art. 432 al. 2 CPP (TF 6B_459/2022 précité consid. 2.2 et la jurisprudence citée).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question de l'indemnisation (art. 429 à 434 CPP) doit être traitée après celle des frais (TF 7B_18/2023 du 24 août 2023 consid. 3.1.2 ; TF 6B_762/2022 du 11 janvier 2023 consid. 2.1.2).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ATF 137 IV 352 consid. 2.4.2). 6.3 Tenant compte des chefs d’accusation pour lesquels les prévenues V.________ et T.________ ont été acquittées, le premier juge, sans remettre en cause les prétentions alléguées par le conseil de choix de Q.________, par 5'591 fr. 50, débours compris, dans la liste des opérations produite (P. 57) a réduit l’indemnité réclamée par l’appelante de deux cinquièmes et mis par conséquent deux cinquièmes de l’indemnité à la charge de V.________ et un cinquième à la charge de T.________. En première instance, Q.________ a été acquittée de tous les chefs d’accusation qui lui avaient été imputés à l’origine, ce qui lui donne droit à une indemnité sous l’angle de l’art. 429 CPP ou de l’art. 432 CPP dès lors que V.________ a porté plainte contre elle (PV aud. 1). Tout bien considéré, pour tenir compte des frais engagés par l’appelante en sa qualité de partie plaignante, cette indemnité doit être fixée à deux tiers du montant réclamé et mise à la charge de V.________ en application de l’art. 432 al. 2 CPP par renvoi de l’art. 430 al. 1 let. b CPP, ce qui résout la question de l’art. 429 CPP, le tiers restant représentant les frais engagés par l’appelante en sa qualité de partie plaignante. Pour l’indemnité de l’art. 433 CPP, l’appelante obtient la condamnation de V.________ pour lésions corporelles simples et injure, alors que T.________ est entièrement libérée des chefs de prévention d’injure et de contrainte pour les faits qu’elle a dénoncés contre celle-ci (P. 5). L’appelante a droit à une indemnité fondée sur l’art. 433 CPP, puisqu’elle obtient partiellement gain de cause vis-à-vis de V.________. L’indemnité due à ce titre à l’appelante par V.________ peut être fixée à la moitié du tiers restant, soit à 1/6. T.________, qui était au volant de la voiture dans laquelle se trouvait notamment V.________, a quant à elle favorisé l’affrontement en adoptant une conduite agres­sive, puis en s’arrêtant devant le domicile de Q.________ et en laissant V.________ sortir de son véhicule. Il n'est pas établi que T.________ ait retenu B.X.________ et d’autres mem­bres de son camp pour que celles-ci ne puissent pas porter secours à l’appelante durant la bagarre (jugement pp. 33 ss), mais elle n’est pas intervenue pour tenter de calmer V.________. Au surplus, l’appelante n’a pas pris de conclusion civile à l’encontre de T.________, laquelle doit assumer la charge d’une partie des frais de première instance. Partant, l’indemnité réduite fondée sur les art. 432 et 433 CPP à laquelle peut prétendre l’appelante pour la procédure de première instance corres­pondra aux 5/6 (2/3 + 1/6) de l’indemnité totale alléguée, par 5'591 fr. 50, et sera arrêtée à 4'659 fr. 60 au total. Au vu des éléments exposés ci-avant, un ratio de 10% à la charge de T.________ correspondant à 559 fr. 15 (10% de 5'591 fr. 50) et de 90% à la charge de V.________ correspondant à 4'100 fr. 45 (4'659 fr. 60 – 559 fr. 15) est équitable. Le jugement doit ainsi être modifié dans cette mesure.</w:t>
      </w:r>
    </w:p>
    <w:p>
      <w:r>
        <w:rPr>
          <w:b/>
        </w:rPr>
        <w:t>E. 7</w:t>
      </w:r>
    </w:p>
    <w:p>
      <w:r>
        <w:t>h, doit être réduit à 4 h et le temps consacré à la prépa­ration de la requête d’assistance judiciaire, par 30 mn, doit être réduit à 10 mn. Le solde du temps se rapportant à du travail de secrétariat, il ne doit pas être rémunéré. Le temps consacré à la préparation de l’audience d’appel, par 7h15, doit être réduit à 2 h, compte tenu de la connaissance du dossier acquise en première instance par le conseil. Il sera enfin tenu compte du temps effectif de l’audience qui a duré 1h35. L’indemnité d’office de Me Malory Fagone doit donc être fixée à 2'271 fr. 40, montant correspondant à 10h50 d’activité d’avocat breveté au tarif horaire de 180 fr., soit 1'950 fr., 162 fr. 40 de débours forfaitaires, une vacation à 120 fr. et 162 fr. 40 de TVA au taux de 7,7 % pour des activités antérieures au 1 er janvier 2024 (art. 2 al. 1 let. a et 3bis al. 1 et al. 3 RAJ [règlement sur l’assistance judiciaire en matière civile du 7 décembre 2019 ; BLV 211.02.3], applicables par renvoi de l’art. 26b TFIP [tarif des frais de procédure et indemnités en matière pénale du 28 septembre 2010 ; BLV 312.03.1]). Le défenseur d’office de V.________ a produit une liste d’opérations (P. 100) faisant état de 8h35 d’activité d’avocat tenant compte de la durée de l’audience d’appel, dont il n’y a pas lieu de s’écarter. C’est ainsi une indemnité de 1'826 fr. 50 qui doit être allouée à Me Aba Neeman, montant correspondant à 8h35 d’activité d’avocat au tarif horaire de 180 fr., soit 1'545 fr., plus 30 fr. 90 de débours forfaitaires, une vacation à 120 fr. et 130 fr. 60 de TVA (art. 2 al. 1 let. a et 3bis al. 1 et al. 3 RAJ, applicables par renvoi de l’art. 26b TFIP). Me Sophie Leuenberger a produit une liste d’opérations (P. 101) faisant état de 9.6 heures d’activité d’avocat. Le temps allégué est exagéré et doit être ramené à 6.6 heures. Le temps consacré aux recherches juridiques et à l’étude du dossier, comptabilisé à hauteur de 1.3 heures, n’est pas justifié et n’a pas à être rémunéré. Le temps consacré à la préparation de l’audience d’appel doit être réduit à 1 heure et les opérations postérieures à audience d’appel doivent être ramenées à 0.5 h. En outre, il convient de tenir compte du temps effectif de l’audience d’appel de 1.50 h. L’indemnité d’office de Me Sophie Leuenberger doit ainsi être fixée à 1'434 fr. 30, montant correspondant à 6.6 h d’activité d’avocat breveté au tarif horaire de 180 fr., soit 1'188 fr., 23 fr. 75 de débours forfaitaires, une vacation à 120 fr. et 102 fr. 55 de TVA (art. 2 al. 1 let. a et 3bis al. 1 et al. 3 RAJ, applicables par renvoi de l’art. 26b TFIP). Les frais de la procédure d’appel, par 8'652 fr. 20, sont constitués en l’espèce de l’émolument de jugement, par 3'120 fr. (art. 422 al. 1 CPP ; 21 al. 1 et 2 TFIP), ainsi que de l’indemnité allouée au conseil juridique gratuit de Q.________, par 2'271 fr. 40, de celle allouée au défenseur d’office de V.________, par 1'826 fr. 50, et de celle allouée au défenseur d’office de T.________, par 1'434 fr. 30. Vu le sort de la cause, l’émolument de jugement sera mis à raison des 4/5 à la charge de Q.________, soit 6'921 fr. 75, et à raison de 1/5 à la charge de V.________, soit 1'730 fr. 45. Les indemnités allouées au conseil juridique gratuit de Q.________, par 2'271 fr. 40, et au défenseur d’office de V.________, par 1'826 fr. 50, seront mises à raison des 4/5 à la charge de Q.________, soit 1'817 fr. 10 et 1'461 fr. 20, et à raison de 1/5 à la charge de V.________, soit 454 fr. 30 et 365 fr. 30, et l’indemnité allouée au défenseur d’office de T.________ sera mise à la charge de V.________, laquelle a conclu au rejet de l’appel. Q.________ et V.________ seront tenues de rembourser à l’Etat les parts des indemnités en faveur des conseils d’office Me Malory Fagone, Me Aba Neeman et Me Sophie Leuenberger mises à leur charge dès 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