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498 vom 16. Juni 2023</w:t>
      </w:r>
    </w:p>
    <w:p>
      <w:r>
        <w:t>VD Tribunal cantonal, 2023-06-16, FR</w:t>
      </w:r>
    </w:p>
    <w:p>
      <w:r>
        <w:rPr>
          <w:b/>
        </w:rPr>
        <w:t xml:space="preserve">Quelle: </w:t>
      </w:r>
      <w:r>
        <w:t>https://mcp.opencaselaw.ch/entscheid/vd_findinfo_Jug___2023___498</w:t>
      </w:r>
    </w:p>
    <w:p>
      <w:r>
        <w:t>FR: VD_FINDINFO Jug / 2023 / 498 du 16 juin 2023</w:t>
      </w:r>
    </w:p>
    <w:p>
      <w:r>
        <w:t>IT: VD_FINDINFO Jug / 2023 / 498 del 16 giugno 2023</w:t>
      </w:r>
    </w:p>
    <w:p>
      <w:pPr>
        <w:pStyle w:val="Heading2"/>
      </w:pPr>
      <w:r>
        <w:t>Regeste</w:t>
      </w:r>
    </w:p>
    <w:p>
      <w:r>
        <w:t>MISE EN DANGER DE LA VIE D'AUTRUI{ART. 129 CP}, ASSASSINAT, DÉLIT MANQUÉ, PRÉSOMPTION D'INNOCENCE, FIXATION DE LA PEINE, CONCOURS D'INFRACTIONS, EXPULSION{DROIT PÉNAL} | 129 CP, 22 ad 112 CP, 47 CP, 49 al. 1 CP, 51 CP, 66a al. 1 let. a CP, 66a al. 1 let. b CP, 10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ainsi que la pièce produite à l’appui de celui-ci (art. 389 al. 3 CPP).</w:t>
      </w:r>
    </w:p>
    <w:p>
      <w:r>
        <w:rPr>
          <w:b/>
        </w:rPr>
        <w:t>E. 2</w:t>
      </w:r>
    </w:p>
    <w:p>
      <w:r>
        <w:t>.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tout d’abord sa condamnation pour mise en danger de la vie d’autrui. Il prétend en substance avoir serré la gorge de sa victime quelques secondes par une clé-de-bras dans l’intention de la maîtriser – celle-ci jetant du mobilier par terre –, « sans se rendre compte qu’il la serrait trop fort », et avoir immédiatement relâché son étreinte lorsqu’il s’est rendu compte qu’elle perdait conscience. Il fait valoir que le rapport médical du 11 avril 2021 de l’Hôpital Riviera-Chablais Vaud-Valais ne fait état d’aucune marque de strangulation, ni de pétéchies, gonflements des yeux ou de problèmes de déglutition et qu’il ne relève aucune mise en danger, indiquant au contraire un « bilan clinico-bio-radiologique rassurant ».</w:t>
      </w:r>
    </w:p>
    <w:p>
      <w:r>
        <w:rPr>
          <w:b/>
        </w:rPr>
        <w:t>E. 3.2</w:t>
      </w:r>
    </w:p>
    <w:p>
      <w:r>
        <w:t>L’art. 129 CP (Code pénal suisse du 21 décembre 1937 ; RS 311.0)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6B_115/2023 du</w:t>
      </w:r>
    </w:p>
    <w:p>
      <w:r>
        <w:rPr>
          <w:b/>
        </w:rPr>
        <w:t>E. 3.3</w:t>
      </w:r>
    </w:p>
    <w:p>
      <w:r>
        <w:t>Le certificat médical (P. 44) dont se prévaut l’appelant n’est pas déterminant. En effet, la jurisprudence retient une notion de mise en danger concrète de la vie au sens de l’art. 129 CP plus large que celle de la médecine légale. Ainsi, il n’est pas nécessaire que la victime montre de signes d’une souffrance cérébrale caractérisée (perte de connaissance, perte des urines ou de selles, convulsions) pour que la mise en danger puisse être retenue, la présence de tels symptômes indiquant une probabilité de mort supérieure à 50 %, dépassant l’exigence du danger de mort concret au sens de l’art. 129 CP. La jurisprudence admet ainsi qu’une mise en danger de la vie concrète de la vie soit retenue en l’absence de lésions constatées médicalement et sans même que la victime ne perde connaissance. Or, dans le cas d’espèce, non seulement T.________ a perdu connaissance et perdu des urines, mais en plus elle a souffert de pétéchies dans les conjonctives des yeux comme l’attestent les photographies produites par sa mère (annexe au PV aud. 9 et P. 137/2). Il est dès lors incontestable que la strangulation dont elle a été victime revêtait une intensité suffisante pour créer un danger concret pour sa vie. D’autre part, c'est en vain que l'appelant conteste avoir eu conscience du danger de mort encouru par sa victime, car l'intensité de la strangulation démontre le contraire. Quiconque étrangle une personne jusqu'à l'évanouissement est conscient du risque mortel. C'est donc à juste titre que les premiers juges n'ont pas cru l'appelant lorsqu'il a contesté avoir eu conscience du danger de mort. L’arrêt 6B_54/2013 du 23 août 2013 et la directive de la police genevoise dont il se prévaut ne lui sont d’aucun secours, dès lors qu’il n’est ni rompu à l’exercice des arts martiaux ni un policier formé à l’usage de la « clé de contrôle du cou ». Il n’était ainsi pas en mesure de doser sa prise ni de l’utiliser de manière contrôlée pour maîtriser sa victime en quelques secondes seulement, comme c’est le cas dans les sports de combat et lors des interventions de la police. Au contraire, a lors même que la clé-de-bras effectuée lui permettait de voir que sa victime étouffait, il l’a étranglée jusqu'à ce qu'elle s'évanouisse et perde ses urines. Comme l'ont retenu les premiers juges il a donc serré longtemps et fortement. Le fait qu'il ait relâché son étreinte au moment de l'évanouissement, à supposer que ce soit vrai, lui permet simplement d'échapper à une condamnation pour tentative de meurtre, car l'intention homicide serait alors établie s'il avait poursuivi sa strangulation. Au regard de ces éléments, il ne fait aucun doute que l'appelant a agi intentionnellement en voulant la grave mise en danger de mort à laquelle il a exposé sa victime. Pour le surplus, l’absence de scrupules ne fait aucun doute, l’appelant ayant utilisé un moyen complètement disproportionné pour calmer sa conjointe et l’empêcher de jeter des objets, au point de mettre la vie de celle-ci en danger dans le cadre d’une dispute de couple. La condamnation pour mise en danger de la vie d'autrui doit ainsi être confirmée. 4. 4.1 L’appelant conteste sa condamnation pour tentative d’assassinat et soutient qu’il aurait dû être condamné pour tentative de meurtre. Il fait valoir que les constatations des premiers juges sont erronées ou lacunaires, ceux-ci n’ayant pas pris en considération l’ensemble des circonstances. Il relate les nombreuses humiliations que sa victime lui aurait fait subir – notamment en le trompant et lui mentant à plusieurs reprises, alors qu’il était profondément amoureux d’elle – et plaide avoir agi sous l'effet d'une émotion violente et sans préméditation. Il conteste pour le surplus s’être acharné sur sa victime, puisqu’il a rangé son couteau alors qu’elle était encore consciente, et allègue que le moyen employé n’était pas spécialement cruel, T.________ n’ayant ressenti la douleur des coups de couteau qu’une fois dans l’ambulance. S’agissant de son comportement après les faits, il affirme avoir aidé sa victime à remonter les escaliers avant d’essayer de brûler ses vêtements et de revenir quasiment nu à sa voiture, ce qui démontrerait un manque flagrant de planification. Il fait également valoir qu’après son arrestation, il a pleuré en disant regretter son geste et s’est soucié de l’état de son ex-compagne, lui adressant un message pour s’excuser. Enfin, il se prévaut de l’arrêt 6B_355/2015 du 22 février 2026, traitant selon lui d’un cas « plus grave », par lequel le Tribunal fédéral a acquitté du chef d’accusation d’assassinat un homme ayant tué une prostituée de deux balles dans la tête.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5</w:t>
      </w:r>
    </w:p>
    <w:p>
      <w:r>
        <w:t>septembre 2023).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6B_859/2022 du 6 mars 2023 consid. 2.1 ; TF 6B_386/2022 du 20 décembre 2022 consid. 2.1 ; TF 6B_418/2021 du 7 avril 2022 consid. 5.1 ; TF 6B_964/2021 du 12 janvier 2022 consid. 4.5.1). Il doit en outre s'agir d'un danger de mort, et non pas seulement d'un danger pour la santé ou l'intégrité corporelle (ATF 133 IV 1 consid. 5.1 ; TF 6B_115/2023 précité ; TF 6B 418/2021 précité ; TF 68_144/2019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6B_115/2023 précité ; TF 68_418/2021 précité ; TF 68_876/2015 du 2 mai 2016 consid. 2.1 non publié in ATF 142 IV 245). L'immédiateté disparaît ou s'atténue lorsque s'interposent ou surviennent des actes ou d'autres éléments extérieurs (ATF 106 IV 12 consid. 2a ; TF 6B_115/2023 ; TF 68_418/2021 précité ; TF 6B_526/2021 du 22 décembre 2021 consid. 3.1).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(TF 6B_1321/2017 du 26 avril 2018 consid. 2.1 ; TF 6B_11/2015 du 9 novembre 2015 consid. 5). Le Tribunal fédéral admis qu’un danger de mort immédiat est en principe admis en cas d'étranglement lorsqu'il existe des pétéchies au niveau des conjonctives (TF 6B_54/2013 du 23 août 2013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 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68_418/2021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68_418/2021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 418/2021 précité ; TF 6B_526/2021 précité ; TF 6B_1031/2020 du 6 mai 2021 consid. 3.1 ; TF 6B 1385/2019 du 27 février 2020 consid. 3.1).</w:t>
      </w:r>
    </w:p>
    <w:p>
      <w:r>
        <w:rPr>
          <w:b/>
        </w:rPr>
        <w:t>E. 5.1</w:t>
      </w:r>
    </w:p>
    <w:p>
      <w:r>
        <w:t>L’appelant conteste encore la peine privative de liberté. Il estime qu’elle ne devrait pas dépasser cinq ans. Il reproche aux premiers juges d’avoir considéré que sa culpabilité était « écrasante » et, en particulier, qu’il s’était montré égocentré en insistant sur les défauts de la victime et sa propre souffrance et ne mesurant pas l’énorme disproportion entre l’adultère et son acte.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Conformément à ce que prévoit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5.3</w:t>
      </w:r>
    </w:p>
    <w:p>
      <w:r>
        <w:t>Les premiers juges ont considéré à juste titre que la culpabilité de l’appelant était écrasante et la Cour fait sienne leur appréciation. A charge, il faut tenir compte de la gravité des actes qui consacrent, dans un intervalle de temps rapproché, deux mises en danger extrêmes de la vie de la même victime. Les minimisations et l’inversion des rôles déjà soulignées montrent une absence de prise de conscience des plus inquiétantes, compte tenu du risque de récidive mis en évidence par les experts. A décharge, il faut retenir que les faits ont été admis pour l’essentiel et ont fait l’objet d’excuses et la souffrance légitime de la trahison, sans toutefois lui accorder l’importance que voudrait l’appelant. Enfin, la tentative implique une légère atténuation. L’infraction de tentative d’assassinat, qui est sans conteste la plus grave, mérite le prononcé d’une peine privative de liberté de dix ans à elle seule. Les effets du concours conduisent à l’augmentation de cette peine de base de deux ans pour réprimer la mise en danger de la vie d’autrui. Il résulte de ce qui précède que c’est une peine privative de liberté de douze ans qui aurait dû être infligée à l’appelant. Cependant, dans la mesure où la quotité de la peine prononcée par le Tribunal criminel ne peut pas être augmentée sous peine de violer le principe de l’interdiction de la reformatio in pejus , la peine privative de liberté de dix ans doit être confirmée. La peine pécuniaire de dix jours-amende à 30 fr. le jour prononcée pour sanctionner l’injure, qui n’est au demeurant pas contestée, est adéquate compte tenu de la situation de l’appelant et de la faute commise, et doit être confirmée. 6. 6.1 L’appelant conteste également la durée de l’expulsion qui a été prononcée à son encontre et qui ne devrait pas dépasser sept ans selon lui. Il reproche aux premiers juges d’avoir omis de retenir à sa décharge le risque faible de récidive et la stabilité professionnelle et le soutien familial et social dont il bénéficie. 6.2 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l’assassinat et de la mise en danger de la vie d’autrui (art. 66a al. 1 let. a et b CP).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6.3 En l’espèce, l’expulsion est justifiée à double titre puisque l’appelant a commis deux infractions imposant le prononcé d’une expulsion obligatoire au sens de l’art. 66a CP, dont l’assassinat qui est l’une des infractions les plus graves du Code pénal. C’est donc à juste titre que les premiers juges ont ordonné l’expulsion pour la durée maximale de quinze ans. Cette durée est tout à fait proportionnée à la gravité de l’atteinte et au risque que l’appelant représente pour l’ordre public suisse.</w:t>
      </w:r>
    </w:p>
    <w:p>
      <w:r>
        <w:rPr>
          <w:b/>
        </w:rPr>
        <w:t>E. 7</w:t>
      </w:r>
    </w:p>
    <w:p>
      <w:r>
        <w:t>; ATF 124 IV 86 consid. 2a ; ATF 120 la 31 consid. 2). 4.2.2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142 IV 61 consid. 4.1 ; ATF 127 IV 10 consid. 1a). Pour caractériser la faute de l'assassin, l'art. 112 CP évoque le cas où les mobiles, le but ou la façon d'agir de l'auteur sont particulièrement odieux. Le mobile de l'auteur est particulièrement odieux lorsqu'il tue pour obtenir une rémunération ou voler sa victime, ou encore lorsqu'il apparaît futile, l'auteur tuant pour se venger, sans motif sérieux, ou pour une broutille (Corboz, Les infractions en droit suisse, volume I, 3 e éd. 2010, n° 8 ad art. 112 CP). Le but – qui se recoupe en grande partie avec le mobile – est particulièrement odieux lorsque l'auteur élimine un témoin gênant ou une personne qui l'entrave dans la commission d'une infraction (Corboz, op. cit., n° 9 ss ad art. 112 CP). Quant à la façon d'agir, elle est particulièrement odieuse lorsqu'elle est barbare ou atroce ou lorsque l'auteur a exploité avec perfidie la confiance de la victime (Corboz, op. cit., n° 13 ss ad art. 112 CP). L'énumération du texte légal n'est pas exhaustive.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(Stratenwerth/Jenny/Bommer, Besonderer Teil I : Straftaten gegen Individualinteressen, 7 e éd. 2010, § 1 n. 25). Par la froideur dans l'exécution et la maîtrise de soi, l'auteur manifeste également le plus complet mépris de la vie d'autrui (Stratenwerth/Jenny/Bommer, ibidem ; Dupuis et al., op. cit.,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La responsabilité restreinte, l'émotion ou des particularités de caractère n'excluent pas la qualification d'assassinat (ATF 95 IV 162 consid. 3 p. 167 ss ; ATF 82 IV 6 consid. 2 ; ATF 80 IV 234 consid. 2 ; Corboz, op. cit., n° 22 ad art. 112 CP). 4.3 4.3.1 Contrairement à ce que fait valoir l’appelant, les premiers juges ont bien tenu compte de l’entier des circonstances ayant précédé le passage à l’acte. Ils ont ainsi pris en considération le fait que T.________ entretenait une relation extra-conjugale et se montrait « ambivalente » à ce sujet (cf. jgt p. 41). Ils ont également évoqué les divergences des versions concernant le moment à partir duquel l’appelant a su qu’il était trompé. Après avoir retranscrit les nombreux messages qu’ils s’étaient échangés (cf. jgt p. 42), les premiers juges ont admis qu’il n’était pas exclu « qu’en raison des messages ambivalents de la victime N.________, qui était très épris, se soit voilé la face, ce qui n’a plus été le cas à tout le moins depuis le 24 octobre 2021 ». Il est ainsi établi par les messages échangés et analysés que l’appelant a su la vérité au plus tard le 24 octobre soit quelques jours avant les faits, ce qu’il ne conteste du reste pas (cf. p. 10 de la déclaration d'appel). S’agissant du jour des faits, les premiers juges ont retenu la version de l’appelant, à savoir que T.________ lui avait menti pour se rendre chez son amant. Il faut toutefois admettre qu’il n’est pas décisif de savoir exactement quand l’appelant a su que la victime le trompait et c’est en vain que l’appelant tente de relativiser la gravité de ses actes en décrivant sa victime comme une manipulatrice qui n'aurait jamais éprouvé de sentiments pour lui. En effet, cette version ne fait que démontrer la façon qu’il a de se victimiser en inversant les rôles et dénote en réalité une absence de prise de conscience de la gravité des faits. Concernant l’agression elle-même, les premiers juges ont relevé qu’il n’y avait que peu de divergences entre les versions de l’appelant et de sa victime et ils ont clairement motivé leur choix lorsqu’ils ont retenu l’une plutôt que l’autre. Dans sa déclaration d’appel, le prévenu se plaint que les premiers juges ont retenu qu’il avait abandonné sa victime au bas des escaliers, alors qu’il l’aurait, selon lui, aidée à remonter les escaliers, contestant la version de T.________, qui a expliqué qu’il avait refusé son aide de peur d’être filmé par la voiture Tesla. Comme l’ont relevé à juste titre les premiers juges, on imagine mal la victime inventer ce fait, alors qu’au vu des précautions prises par l’appelant pour faire disparaître toute trace de son crime, il est logique qu’il ait pensé à éviter de se faire filmer par le mode sentinelle du véhicule. De plus, si l’appelant avait vraiment voulu aider sa victime, on comprend mal pourquoi il l’aurait abandonnée en haut des escaliers, alors qu’elle était gravement blessée et sans moyen d’appeler les secours, toutes ses affaires, son téléphone compris, étant éparpillées au bas de l’escalier, comme l’avait d’ailleurs constaté l’appelant. La version de N.________ n’est donc absolument pas crédible et c’est à juste titre que les premiers juges ont retenu qu’il avait abandonné sa victime après son méfait. Pour le surplus, la Cour de céans partage l’appréciation des faits des premiers juges, ceux-ci ayant amplement et sainement motivé leur conviction. S’agissant du mobile, c'est à juste titre qu'ils ont retenu que N.________ avait agi pour se venger, en étant conscient depuis plusieurs jours que son amie le trompait. C'est également à juste titre qu'ils ont retenu que le crime avait été préparé de façon méticuleuse. La préméditation est attestée par le fait que l’appelant s’est habillé de manière sombre, s’est muni d’un couteau et de gants et a pris soin de laisser son téléphone portable chez lui, avant d’attendre en embuscade durant une heure sa victime à proximité des lieux où il entendait la piéger. On relèvera à ce propos que les premiers juges ont considéré que l’utilisation de l’application de géolocalisation de la Tesla démontrait la perfidie plutôt que la préméditation (cf. jgt p. 53). S’agissant de l’agression elle-même, c’est en vain que l’appelant conteste la violence du coup de couteau porté à la gorge et avoir vu la mare de sang, revenant sur ses précédentes déclarations (cf. PV aud. 14). A nouveau, ces contestations procèdent d’une tentative obstinée de minimiser la gravité des faits. Les actes immédiatement postérieurs aux faits sont également révélateurs. L’appelant a jeté le couteau et brûlé ses vêtements, de manière qu’ils ne soient pas retrouvés par la police. Peu importe que les habits, contrairement au couteau, aient été retrouvés partiellement calcinés, le fait déterminant pour la qualification juridique étant que l’appelant a immédiatement pris des mesures pour faire disparaître les traces de son crime, sans se soucier du fait que sa victime était à l’agonie. C’est donc en vain que l’appelant tente par sa propre description des faits de faire croire qu’il aurait agi sous l’emprise d’une émotion violente, en se gardant bien toutefois de relever les éléments factuels qui démontrent au contraire une réelle froideur dans l’accomplissement de son crime, sa responsabilité pénale étant par ailleurs entière à dire d’expert. Au vu de ce qui précède, on ne discerne aucune constatation erronée ou incomplète des faits dans le jugement attaqué. 4.3.2 Comme l’ont relevé les premiers juges et comme le démontre le déroulement des faits, l’appelant a agi pour se venger, soit punir sa victime qui l’avait trompé. Son ressentiment transparait d’ailleurs encore dans ses déclarations aux débats de première instance. La façon d’agir dénote une froideur et un mépris complet de la victime : préméditation, embuscade, brutalités en précipitant la victime dans les escaliers, puis multiples coups de couteau sur une victime sans défense, abandon de celle-ci dans son sang et destruction de preuves. On relèvera en outre les messages envoyés après le forfait, révélateurs de la froideur de l’appelant, qui, de manière calculatrice, tente de faire croire qu’il est sans nouvelle de sa victime et qu’il s’inquiète de sa disparition. L’appelant a fait preuve d’un égoïsme odieux, voulant sacrifier son amie pour avoir eu l’affront de le tromper, sans aucune considération pour les souffrances endurées, de sorte que la victime est encore aujourd’hui lourdement atteinte physiquement et psychologiquement. L’arrêt 6B_355/2015 du 22 février 2026 invoqué par l’appelant ne lui est d’aucun secours, tant les circonstances factuelles sont différentes. La qualification de tentative d’assassinat doit dès lors être confirmée. 5.</w:t>
      </w:r>
    </w:p>
    <w:p>
      <w:r>
        <w:rPr>
          <w:b/>
        </w:rPr>
        <w:t>E. 7.1</w:t>
      </w:r>
    </w:p>
    <w:p>
      <w:r>
        <w:t>L’appelant conteste enfin la déduction de 274 jours de détention avant jugement, en faisant valoir que les juges de première instance n’ont tenu compte que de la détention provisoire, omettant de déduire également la période de détention qu’il a effectuée sous le régime de l’exécution anticipée de peine.</w:t>
      </w:r>
    </w:p>
    <w:p>
      <w:r>
        <w:rPr>
          <w:b/>
        </w:rPr>
        <w:t>E. 7.2</w:t>
      </w:r>
    </w:p>
    <w:p>
      <w:r>
        <w:t>L’art. 51 CP dispose que le juge impute sur la peine la détention avant jugement subie par l’auteur dans le cadre de l’affaire qui vient d’être jugée ou d’une autre procédure. Par détention avant jugement il y a lieu d’entendre toute détention ordonnée au cours d’un procès pénal pour les besoins de l’instruction, pour des motifs de sûreté ou en vue de l’extradition (art. 110 al. 7 CP). La détention provisoire et la détention pour des motifs de sûreté sont des détentions avant jugement au sens de l’art. 110 al. 7 CP (Dupuis et al., Petit commentaire du Code pénal, 2 e éd., 2017, n. 42 ad. art. 110). L’exécution anticipée de la peine doit également être prise en compte sans aucune restriction (ATF 133 IV 150 consid. 5.1). Si la détention subie sous le régime de l’exécution anticipée de peine n’est pas explicitement prise en compte dans le jugement ou si l’exécution anticipée n’est pas expressément reconnue comme exécution de la peine, il peut en résulter un désavantage pour l’intéressé s’il a été condamné à une peine privative de liberté avec sursis et que le sursis doit être révoqué en raison d’une nouvelle récidive (art. 49 al. 1 CP). En effet, si la privation de liberté subie sous la forme d’une exécution anticipée de la peine n’est pas expressément reconnue comme une exécution de peine dans le dispositif du jugement, il peut y avoir des incertitudes sur le solde de la peine restant à exécuter (TF 6B_571/2015 du 14 décembre 2015 consid. 2.3).</w:t>
      </w:r>
    </w:p>
    <w:p>
      <w:r>
        <w:rPr>
          <w:b/>
        </w:rPr>
        <w:t>E. 7.3</w:t>
      </w:r>
    </w:p>
    <w:p>
      <w:r>
        <w:t>En l’espèce, l’incertitude évoquée par le Tribunal fédéral dans la jurisprudence précitée ne trouve pas application ici, l’appelant ayant été condamné à une peine de privative de liberté ferme. Ainsi, la détention subie en exécution anticipée de peine sera évidemment prise en compte dans le cadre du plan d’exécution de la peine (art. 75 CP). Le moyen doit dès lors être rejeté faute d’intérêt juridique à la modification de la décision attaquée. Toutefois, par souci de clarté, le dispositif du jugement de première instance sera rectifié d’office en déduisant de la peine non seulement les jours de détention subis sous le régime de la détention provisoire, mais aussi ceux effectués sous le régime de l’exécution anticipée de peine. Pour rappel, N.________ a été détenu provisoirement du 27 octobre 2021 au 27 juillet 2022, soit durant 274 jours. Il a ensuite été détenu sous le régime de l’exécution anticipée de peine du 28 juillet 2022 au 26 juin 2023, date du jugement, soit durant 324 jours. C’est donc un total de 598 jours de détention avant jugement qui doit être déduit.</w:t>
      </w:r>
    </w:p>
    <w:p>
      <w:r>
        <w:rPr>
          <w:b/>
        </w:rPr>
        <w:t>E. 8</w:t>
      </w:r>
    </w:p>
    <w:p>
      <w:r>
        <w:t>En définitive, l’appel de N.________ doit être rejeté aux frais de son auteur. Outre l’émolument, les frais d’appel comprennent également les indemnités allouées au défenseur d’office de l’appelant et au conseil de la partie plaignante (art. 422 al. 2 let. a CPP). La liste des opérations produite par Me Nader Wolf, défenseur d’office de N.________, ne prête pas flanc à la critique, si ce n’est que la durée de l’audience d’appel a été surestimée et que les débours forfaitaires doivent être indemnisés à hauteur de 2 % et non pas 3 % (art. 3bis al. 1 RAJ [règlement du 7 décembre 2010 sur l'assistance judiciaire en matière civile ; BLV 211.02.3], applicable par renvoi de l’art. 26b TFIP [tarif des frais de procédure et indemnités en matière pénale du 28 septembre 2010 ; BLV 312.03.1]). Il sera donc retenu 13 heures et 5 minutes d’activité au tarif horaire de 180 fr. (cf. art. 2 al. 1 RAJ), soit 2'355 fr., auxquels s’ajoutent les débours forfaitaires, par 47 fr. 10, deux vacations de 120 fr. et la TVA sur le tout, par 203 fr. 45, pour un total de 2’845 fr. 55. La liste d’opérations produite par Me Coralie Devaud, conseil juridique gratuit de T.________ est adéquate, si ce n’est que la durée d’audience a également été surestimée. Il sera donc retenu</w:t>
      </w:r>
    </w:p>
    <w:p>
      <w:r>
        <w:rPr>
          <w:b/>
        </w:rPr>
        <w:t>E. 11</w:t>
      </w:r>
    </w:p>
    <w:p>
      <w:r>
        <w:t>heures et 39 minutes d’activité au tarif horaire de 180 fr., soit 2’097 francs. Avec les débours à 2 %, par 41 fr. 95, une vacation à 120 fr. et 7,7 % de TVA sur le tout, soit 173 fr. 95, l’indemnité s’élève au total à 2’432 fr. 90. Vu l’issue de la cause, les frais de la procédure d’appel, par 9'058 fr. 45, constitués des émoluments de jugement et d’audience, par 3'780 fr. (art. 21 al. 1 et 2 TFIP), et des indemnités dues au défenseur d’office et au conseil juridique gratuit, seront mis à la charge de N.________ qui succombe (art. 428 al. 1 CPP). N.________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