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476 vom 2. März 2023</w:t>
      </w:r>
    </w:p>
    <w:p>
      <w:r>
        <w:t>VD Tribunal cantonal, 2023-03-02, FR</w:t>
      </w:r>
    </w:p>
    <w:p>
      <w:r>
        <w:rPr>
          <w:b/>
        </w:rPr>
        <w:t xml:space="preserve">Quelle: </w:t>
      </w:r>
      <w:r>
        <w:t>https://mcp.opencaselaw.ch/entscheid/vd_findinfo_Jug___2023___476</w:t>
      </w:r>
    </w:p>
    <w:p>
      <w:r>
        <w:t>FR: VD_FINDINFO Jug / 2023 / 476 du 2 mars 2023</w:t>
      </w:r>
    </w:p>
    <w:p>
      <w:r>
        <w:t>IT: VD_FINDINFO Jug / 2023 / 476 del 2 marzo 2023</w:t>
      </w:r>
    </w:p>
    <w:p>
      <w:pPr>
        <w:pStyle w:val="Heading2"/>
      </w:pPr>
      <w:r>
        <w:t>Regeste</w:t>
      </w:r>
    </w:p>
    <w:p>
      <w:r>
        <w:t>DÉTENTION D'ARMES, CONFISCATION{DROIT PÉNAL}, INDEMNITÉ{EN GÉNÉRAL}, INTENTION | 12 al. 2 CP, 69 CP, 33 al. 1 let. a LArm, 426 al. 2 CPP (CH), 429 al. 1 let. a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2.2</w:t>
      </w:r>
    </w:p>
    <w:p>
      <w:r>
        <w:t>;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w:t>
      </w:r>
    </w:p>
    <w:p>
      <w:r>
        <w:rPr>
          <w:b/>
        </w:rPr>
        <w:t>E. 3</w:t>
      </w:r>
    </w:p>
    <w:p>
      <w:r>
        <w:t>L'appelant requiert préalablement l'audition de N.________, qui est armurier diplômé, dans le « but d’éclairer l’autorité d’appel sur ce qui est vécu concrètement lorsque des personnes héritent d’une arme ». Toutefois, dans la mesure où il a produit un témoignage écrit de ce témoin en annexe à sa déclaration d'appel, il n’est pas nécessaire de l’entendre. De toute manière, il appartient au juge de déterminer les obligations légales de celui qui acquiert une arme par héritage et non au témoin. La requête doit donc être rejetée.</w:t>
      </w:r>
    </w:p>
    <w:p>
      <w:r>
        <w:rPr>
          <w:b/>
        </w:rPr>
        <w:t>E. 4.1</w:t>
      </w:r>
    </w:p>
    <w:p>
      <w:r>
        <w:t>L'appelant invoque en premier lieu une violation de l'art. 33 al. 1 LArm (Loi fédérale sur les armes, les accessoires d’armes et les munitions du 20 juin 1997 ; RS 514.54). Il relève que l’art. 10 LArm retenu par le premier juge ne mentionne aucune règle prohibant son comportement. Il fait ensuite valoir que bien que n'ayant pas respecté l’obligation d’annonce prévue par l'art. 11 al. 4 LArm, il détenait valablement le pistolet d'alarme hérité de son père, de sorte qu'il ne l'aurait pas acquis ou possédé sans droit au sens de l'art. 33 al. 1 LArm.</w:t>
      </w:r>
    </w:p>
    <w:p>
      <w:r>
        <w:rPr>
          <w:b/>
        </w:rPr>
        <w:t>E. 4.2</w:t>
      </w:r>
    </w:p>
    <w:p>
      <w:r>
        <w:t>L'art. 33 al. 1 let. a LArm punit d'une peine privative de liberté de trois ans au plus ou d'une peine pécuniaire quiconque, intentionnellement, sans droit, acquiert ou possède des armes notamment. Les armes factices, les armes d'alarme et les armes soft air sont considérées comme des armes lorsqu'elles peuvent être confondues avec de véritables armes du fait de leur apparence, selon l'art. 4 al. 1 let. g LArm. Selon la jurisprudence, la notion d'« acquisition » au sens de la LArm comprend toutes les formes de transfert de la propriété ou de la possession, notamment l'achat, l'échange, la donation, l'héritage, la location ou le prêt à usage. Peu importe que le transfert ne se fasse que dans un but temporaire (ATF 143 IV 347 consid. 3.4 ; TF 6B_376/2019 du 16 avril 2019 consid. 2.1 ; TF 6B_884/2013 du 9 octobre 2014 consid. 3.3.2). Aux termes de l’art. 11 al. 4 LArm, toute personne qui acquiert par dévolution successorale une arme à feu ou un élément essentiel d’arme relevant de l’art. 10 doit transmettre au service d’enregistrement les indications mentionnées à l’art. 11 al. 2 let. a à d LArm (informations notamment sur l’acquéreur et sur l’arme), dans les six mois qui suivent la dévolution successorale, sauf si, pendant ce délai, elle cède l’objet en question à une personne ayant le droit de la posséder. Aux termes de l’art. 12 LArm, toute personne ayant acquis légalement une arme, un élément essentiel d’arme, un composant d’arme spécialement conçu ou un accessoire d’arme est autorisée à posséder l’objet ainsi acquis. Cette disposition légale subordonne l'autorisation de posséder une arme ou un élément essentiel d'arme au fait que l'engin ait été acquis en toute légalité (Message du 1 er octobre 2004 relatif à l'approbation des accords bilatéraux entre la Suisse et l'Union européenne, y compris les actes législatifs relatifs à la transposition des accords (accords bilatéraux II), FF 2004 5593 p. 5893 ; TF 6B_1440/2021 du 26 octobre 2022 consid. 2.1 ; TF 6B_864/2015 du 1 er novembre 2016 consid. 1.2). La possession d'une arme sans que les conditions de l'art. 12 LArm ne soient respectées est punissable en vertu de l'art. 33 al. 1 let. a LArm, même si l'arme en question ne figure pas dans la liste de l'art. 5 al. 1 LArm (TF 6B_1440/2021 du 26 octobre 2022 consid. 2.1 ; TF 6B_884/2013 du 9 octobre 2014 consid. 5.1 et 5.2 ; TF 6B_1013/2015 du 16 août 2016 consid. 3.2).</w:t>
      </w:r>
    </w:p>
    <w:p>
      <w:r>
        <w:rPr>
          <w:b/>
        </w:rPr>
        <w:t>E. 4.3</w:t>
      </w:r>
    </w:p>
    <w:p>
      <w:r>
        <w:t>L'appelant admet ne pas s'être conformé au devoir d'annonce prévu à l'art. 11 al. 4 LArm, même s'il est vrai que le jugement cite à tort l'art. 10 al. 2 de dite loi. Il n'a donc pas rempli les conditions légales permettant de considérer qu'il a acquis légalement l'arme au sens de l'art. 12 LArm. Or, conformément à la jurisprudence, la possession d'une arme sans le respect des conditions de cette disposition est punissable en vertu de l'art. 33 al. 1 let. a LArm. Ainsi, contrairement à ce que soutient l'appelant, le défaut d'annonce permet de considérer qu'il possédait sans droit le pistolet d'alarme litigieux.</w:t>
      </w:r>
    </w:p>
    <w:p>
      <w:r>
        <w:rPr>
          <w:b/>
        </w:rPr>
        <w:t>E. 5.1</w:t>
      </w:r>
    </w:p>
    <w:p>
      <w:r>
        <w:t>L'appelant conteste ensuite l'élément subjectif de l'infraction. Il conteste avoir agi intentionnellement ou par négligence. Il invoque une ignorance non fautive de la loi, en faisant valoir que, dans l'esprit populaire, la loi viserait l'acquisition d'armes lorsqu'un permis est nécessaire.</w:t>
      </w:r>
    </w:p>
    <w:p>
      <w:r>
        <w:rPr>
          <w:b/>
        </w:rPr>
        <w:t>E. 5.2</w:t>
      </w:r>
    </w:p>
    <w:p>
      <w:r>
        <w:t>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TF 6B_1180/2022 du 15 juin 2023 consid. 3.2.1.1).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119 IV 1 consid. 5a ; TF 6B_1180/2022 précité consid. 3.2.1.1). Peuvent aussi constituer des éléments extérieurs révélateurs, les mobiles de l'auteur et la manière dont il a agi (ATF 133 IV 222 consid. 5.3 ; ATF 130 IV 58 consid. 8.4 ; ATF 125 IV 242 consid. 3c ; TF 6B_1180/2022 précité consid. 3.2.1.1).</w:t>
      </w:r>
    </w:p>
    <w:p>
      <w:r>
        <w:rPr>
          <w:b/>
        </w:rPr>
        <w:t>E. 5.3</w:t>
      </w:r>
    </w:p>
    <w:p>
      <w:r>
        <w:t>C'est en vain que l'appelant invoque son ignorance de la loi, car dès l'instant où il est entré en possession du pistolet d'alarme litigieux comme héritier, il lui incombait de prendre les renseignements utiles et une simple démarche auprès du Bureau des armes de la Police cantonale lui aurait permis de se mettre en règle. Il apparaît également que l'usage qu'il en a fait, à proximité de cavalières, en violation du plus élémentaire devoir de prudence, démontre que toute réglementation au sujet des armes lui était indifférente. Il tombe en effet sous le sens que l’utilisation d’un pistolet d'alarme ne se justifie qu’en cas de danger. Ainsi l'appelant a-t-il à tout le moins agi par dol éventuel en s'accommodant, par un usage illicite de l'arme, d'une détention qui pouvait être illicite. En fait, il résulte de l'ensemble des circonstances que l'appelant a agi à sa guise et au mépris de la réglementation sur les armes. L'infraction est donc bien intentionnelle et la condamnation prononcée par le premier juge doit être confirmée.</w:t>
      </w:r>
    </w:p>
    <w:p>
      <w:r>
        <w:rPr>
          <w:b/>
        </w:rPr>
        <w:t>E. 6.1</w:t>
      </w:r>
    </w:p>
    <w:p>
      <w:r>
        <w:t>A titre subsidiaire, l’appelant soutient qu’au vu des circonstances, il faudrait admettre que le cas est de peu de gravité, de sorte qu’il devrait être exempté de toute peine en application de l'art. 33 al. 2 aLArm.</w:t>
      </w:r>
    </w:p>
    <w:p>
      <w:r>
        <w:rPr>
          <w:b/>
        </w:rPr>
        <w:t>E. 6.2</w:t>
      </w:r>
    </w:p>
    <w:p>
      <w:r>
        <w:t>Dans sa teneur avant le 1 er juillet 2023, qui est plus favorable au prévenu, l’art. 33 al. 2 aLArm disposait que si l’auteur agit par négligence, la peine est une amende et que dans les cas de peu de gravité, le juge peut l’exempter de toute peine.</w:t>
      </w:r>
    </w:p>
    <w:p>
      <w:r>
        <w:rPr>
          <w:b/>
        </w:rPr>
        <w:t>E. 6.3</w:t>
      </w:r>
    </w:p>
    <w:p>
      <w:r>
        <w:t>Comme retenu au considérant 4.3 qui précède, ce n'est pas l'infraction par négligence qui doit être retenue à l’encontre du prévenu, mais bien celle commise sous la forme intentionnelle. L’appelant ne saurait par conséquent bénéficier d’une exemption de peine en application de l’art. 33 al. 2 aLArm. Cela étant, procédant à son examen d’office, la Cour considère que la peine pécuniaire de 20 jours-amende à 30 fr. le jour, avec sursis, a été fixée en application des critères légaux et conformément à la culpabilité et à la situation personnelle de F.________. Elle tient en particulier compte de la situation financière difficile alléguée par l’appelant. Le premier juge a en outre renoncé à prononcer une amende à titre de sanction immédiate. Partant, la peine infligée par le Tribunal de police à F.________ doit être confirmée.</w:t>
      </w:r>
    </w:p>
    <w:p>
      <w:r>
        <w:rPr>
          <w:b/>
        </w:rPr>
        <w:t>E. 7.1</w:t>
      </w:r>
    </w:p>
    <w:p>
      <w:r>
        <w:t>L'appelant soutient qu'une indemnité au sens de l'art. 429 CPP aurait dû lui être allouée, à tout le moins pour l'acquittement dont il a bénéficié du chef d'accusation de tentative de lésions corporelles graves, soit de l'accusation la plus grave.</w:t>
      </w:r>
    </w:p>
    <w:p>
      <w:r>
        <w:rPr>
          <w:b/>
        </w:rPr>
        <w:t>E. 7.2.1</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7B_18/2023 du 24 août 2023 consid. 3.1.2 ; TF 6B_762/2022 du 11 janvier 2023 consid. 2.1.2). Dans cette mesure, la décision sur les frais préjuge de la question de l'indemnisation (ATF 147 IV 47 consid. 4.1 ;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w:t>
      </w:r>
    </w:p>
    <w:p>
      <w:r>
        <w:rPr>
          <w:b/>
        </w:rPr>
        <w:t>E. 7.2.2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w:t>
      </w:r>
    </w:p>
    <w:p>
      <w:r>
        <w:rPr>
          <w:b/>
        </w:rPr>
        <w:t>E. 7.3</w:t>
      </w:r>
    </w:p>
    <w:p>
      <w:r>
        <w:t>En l’espèce, le premier juge a libéré l’appelant du chef de prévention de tentative de lésions corporelles graves, retenant qu’il n’avait pas tiré dans le but d’effrayer les plaignantes et qu’aucune intention délictueuse ne pouvait par conséquent lui être reprochée à leur égard. Dans ces circonstances, seule la moitié des frais de justice de première instance doit être mise à la charge de l’appelant. De même et conformément à la jurisprudence, celui-ci a droit à une indemnité partielle pour ses frais de défense pour la procédure de première instance, dans les mêmes proportions. Il n’y a pas lieu de s’écarter de la liste des opérations produites par Me Charles-Henri de Luze, défenseur de F.________, faisant état de 10.6 d’activité d’avocat. La cause n’étant complexe ni en fait, ni en droit et ressortant de la compétence d’un tribunal de police, il y a lieu d’appliquer un tarif horaire de 250 francs. Les débours seront indemnisés sur une base forfaitaire, à concurrence de 5 % du montant des honoraires admis (art. 19 al. 2 TDC [Tarif des dépens en matière civile du 23 novembre 2010 ; BLV 270.11.6], applicable par renvoi de l'art. 26a al. 6 TFIP), et non 2 % comme retenu par erreur dans le calcul de l’indemnité mentionnée dans le dispositif communiqué à l’issue de l’audience d’appel, erreur qui sera rectifiée d’office dans le dispositif ci-dessous. L’indemnité allouée à F.________ pour la procédure de première instance sera ainsi calculée sur la base d’un montant de 3'255 fr. 25, correspondant à 10.6 heures d’activité d’avocat au tarif horaire de 250 fr., à deux vacations à 120 fr., à des débours à hauteur de 132 fr. 50 et à la TVA au taux de 7,7 %, par 232 fr. 75. Ce montant doit être réduit de moitié et fixé ainsi à 1'627 fr. 60, à la charge de l’Etat.</w:t>
      </w:r>
    </w:p>
    <w:p>
      <w:r>
        <w:rPr>
          <w:b/>
        </w:rPr>
        <w:t>E. 8</w:t>
      </w:r>
    </w:p>
    <w:p>
      <w:r>
        <w:t>L'appelant conteste enfin la confiscation et la destruction de l'arme.</w:t>
      </w:r>
    </w:p>
    <w:p>
      <w:r>
        <w:rPr>
          <w:b/>
        </w:rPr>
        <w:t>E. 8.1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A cet égard, on ne saurait toutefois émettre des exigences élevées, il suffit qu'il soit vraisemblable qu'il y ait un danger si l'objet n'est pas confisqué en mains de l'ayant droit (ATF 125 IV 185 consid. 2a ; TF 6B_1277/2018 du 21 février 2019 consid. 3.3). De plus, la confiscation d'objets dangereux, en tant qu'elle atteint à la propriété garantie par l'art. 26 Cst., exige le respect du principe de la proportionnalité dans ses deux composantes de l'adéquation au but et de la subsidiarité (cf. TF 6B_35/2017 du 26 février 2018 consid. 9.1 ; TF 6B_279/2011 du 20 juin 2011 consid. 4.1). En matière de confiscation, la législation spéciale sur les armes, soit l'art. 31 al. 3 LArm, prévoit notamment que l'autorité confisque définitivement les objets mis sous séquestre s'ils risquent d'être utilisés de manière abusive, notamment si des personnes ont été menacées ou blessées au moyen de ces objets (let. a).</w:t>
      </w:r>
    </w:p>
    <w:p>
      <w:r>
        <w:rPr>
          <w:b/>
        </w:rPr>
        <w:t>E. 8.2</w:t>
      </w:r>
    </w:p>
    <w:p>
      <w:r>
        <w:t>L'appelant s'est rendu coupable du délit réprimé par l'art. 33 al. 1 let. a LArm. Il détenait illicitement son arme. La façon inadéquate dont il en a fait usage laisse en outre craindre une mise en danger de la sécurité de tiers. Il existe par conséquent une connexité suffisante, à l'aune de l'art. 69 al. 1 CP, entre l'objet à confisquer et l'infraction. Partant, la mesure doit être confirmée.</w:t>
      </w:r>
    </w:p>
    <w:p>
      <w:r>
        <w:rPr>
          <w:b/>
        </w:rPr>
        <w:t>E. 9</w:t>
      </w:r>
    </w:p>
    <w:p>
      <w:r>
        <w:t>En définitive, l’appel de F.________ doit être partiellement admis et le jugement entrepris réformé dans le sens des considérants qui précèdent. Vu l’issue de la cause, les frais de la procédure d’appel, constitués du seul émolument de jugement (art. 21 al. 1 et 2 TFIP), par 1’830 fr., seront mis par deux tiers, soit par 1’220 fr., à la charge de F.________, qui succombe dans une large mesure, le solde étant laissé à la charge de l’Etat. L’appelant, qui a procédé avec l’assistance d’un avocat de choix et qui a obtenu partiellement gain de cause, a droit à une indemnité réduite pour les dépenses occasionnées par l’exercice raisonnable de ses droits dans le cadre de la procédure d’appel. Me Charles-Henri de Luze a produit une liste d’opérations faisant état de 6.5 d’activité d’avocat pour la procédure d’appel, audience d’appel non comprise. Il n’y a pas lieu de s’écarter du temps ainsi allégué, si ce n’est pour y ajouter 35 minutes pour les débats d’appel. L’indemnité à laquelle F.________ aurait pu prétendre s’il avait obtenu entièrement gain de cause se serait élevée à 2'463 fr. 65, montant correspondant à 7 h 05 d’activité d’avocat au tarif horaire de 300 fr., à une vacation à 120 fr., à des débours à hauteur de 42 fr. 50 (soit 2 % du montant des honoraires admis, cf. art. 19 al. 2 TDC) et à la TVA au taux de 7,7 %, par 176 fr. 15. Ce montant doit être réduit de deux tiers pour tenir compte du parallélisme entre le sort des frais et des indemnités. L’indemnité qui sera allouée à F.________ pour la procédure d’appel serai ainsi arrêtée à 822 fr., à la charge de l’Etat. Conformément à l’art. 442 al. 4 CPP, les indemnités allouées à l’appelant pour les procédures de première et seconde instances seront compensées avec les frais mis à sa charge dans le cadre de ces deux procédures.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