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472 vom 8. Mai 2023</w:t>
      </w:r>
    </w:p>
    <w:p>
      <w:r>
        <w:t>VD Tribunal cantonal, 2023-05-08, FR</w:t>
      </w:r>
    </w:p>
    <w:p>
      <w:r>
        <w:rPr>
          <w:b/>
        </w:rPr>
        <w:t xml:space="preserve">Quelle: </w:t>
      </w:r>
      <w:r>
        <w:t>https://mcp.opencaselaw.ch/entscheid/vd_findinfo_Jug___2023___472</w:t>
      </w:r>
    </w:p>
    <w:p>
      <w:r>
        <w:t>FR: VD_FINDINFO Jug / 2023 / 472 du 8 mai 2023</w:t>
      </w:r>
    </w:p>
    <w:p>
      <w:r>
        <w:t>IT: VD_FINDINFO Jug / 2023 / 472 del 8 maggio 2023</w:t>
      </w:r>
    </w:p>
    <w:p>
      <w:pPr>
        <w:pStyle w:val="Heading2"/>
      </w:pPr>
      <w:r>
        <w:t>Regeste</w:t>
      </w:r>
    </w:p>
    <w:p>
      <w:r>
        <w:t>PEINE PÉCUNIAIRE, SURSIS À L'EXÉCUTION DE LA PEINE, PÉRIODE D'ESSAI, AMENDE, LÉSION CORPORELLE SIMPLE, FAUTE, LÉGITIME DÉFENSE | 106 CP, 123 ch. 1 al. 1 CP, 34 CP, 42 al. 1 CP, 42 al. 4 CP, 44 al. 1 CP, 47 CP, 50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Q.________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invoque la légitime défense, tant en lien avec la violation de son domicile par la plaignante que pour les attaques physiques qu’il aurait subies de la part de celle-ci en tentant de la faire sortir. Il estime ses réactions proportionnées. Il se prévaut à cet égard de la chronologie des faits et des vidéos produites à l’audience de première instance qui permettraient notamment de constater l’existence d’une violence réciproque au sein du couple.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3.2.2</w:t>
      </w:r>
    </w:p>
    <w:p>
      <w:r>
        <w:t>Selon l'art. 186 CP (Code pénal suisse du 21 décembre 1937 ; RS 311.0),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(ATF 118 IV 167 consid. 1c).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par l'ayant droit (TF 6B_95/2010 du 17 mai 2010 consid. 1.2 et les références citées).</w:t>
      </w:r>
    </w:p>
    <w:p>
      <w:r>
        <w:rPr>
          <w:b/>
        </w:rPr>
        <w:t>E. 3.2.3</w:t>
      </w:r>
    </w:p>
    <w:p>
      <w:r>
        <w:t>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rPr>
          <w:b/>
        </w:rPr>
        <w:t>E. 3.2.4</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précité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 e éd., Berne 2011, n. 76), tout en devant permettre d'écarter efficacement le danger (ATF 136 IV 49 précité consid. 4.2 ; ATF 107 IV 12 consid. 3b).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 ATF 102 IV 65 précité ; TF 6B_6/2017 du 28 février 2018 consid. 4.1).</w:t>
      </w:r>
    </w:p>
    <w:p>
      <w:r>
        <w:rPr>
          <w:b/>
        </w:rPr>
        <w:t>E. 3.3</w:t>
      </w:r>
    </w:p>
    <w:p>
      <w:r>
        <w:t>La Cour de céans constate en premier lieu que la plaignante a admis aux débats d’appel ne pas avoir quitté l’appartement de l’appelant malgré l’injonction qui lui a été signifiée (cf. supra p. 5). Ce faisant, son comportement serait constitutif de violation de domicile au sens de l’art. 186 CP. Cette infraction ne se poursuit toutefois que sur plainte et l’appelant n’en a pas déposée. L’appelant ne conteste pas être à l’origine des légères blessures constatées médicalement au niveau de la tête, du dos et des membres de la plaignante (P. 12/1). Comme l’a correctement retenu la première juge, celles-ci constituent des lésions corporelles simples au sens de l’art. 123 ch. 1 al. 1 CP, ce qui n’est du reste pas remis en cause. Q.________ soutient toutefois avoir agi dans un but de légitime défense, pour parer l’atteinte à sa liberté de domicile. Pour établir cette légitime défense, il a produit en première instance quatre vidéos prises au moyen de son téléphone portable durant la dispute (P. 35). Il admettra néanmoins à l’audience d’appel que la différence d’habillement de la plaignante d’une vidéo à l’autre indique que les enregistrements n’ont pas tous été effectués le même jour, précisant que la vidéo dans laquelle sa chaîne tombe au sol – soit la quatrième vidéo – correspondait aux évènements du moment du départ de la plaignante, lesquels faisaient l’objet de la plainte déposée par cette dernière (cf. supra p. 3). Si le visionnage des trois premières vidéos ne permet dès lors pas d’expliquer ce qui s’est passé le jour des faits, il demeure cependant pertinent pour apprécier le climat qui régnait au sein du couple et l’attitude de chacun des protagonistes. La première vidéo produite par l’appelant montre le refus de la plaignante d’obtempérer aux injonctions formulées contre elle de quitter le logement. Elle déclare vouloir fumer un joint et reste stoïquement sur le canapé du salon, calme, alors qu’elle se fait insulter par l’appelant (« petite conne », « connasse », « conne ») qui, très énervé, s’en prend physiquement à elle ou à ses affaires pour la contraindre de force à quitter son appartement. La deuxième vidéo montre la plaignante en train de quitter le logement. Elle déclare avoir été frappée par l’appelant pendant « deux heures » puis s’en prend à lui physiquement, la vidéo s’arrêtant brusquement. La troisième vidéo ne montre rien d’autre qu’un fin rideau de séparation, entre un hall et le salon, tombé au sol avec sa tringle. Quant à la quatrième vidéo, elle montre tout d’abord l’appelant tendre son pull déchiré devant l’objectif de sa caméra. L’enquête a établi que les habits de l’appelant ont été déchirés lors de l’altercation au niveau de son pull et de son T-shirt (P. 5). On voit ensuite la plaignante sur le départ, récupérant ses affaires à l’entrée du logement, dans la salle de bain probablement, puis ouvrant la porte d’entrée pour quitter les lieux. Elle paraît essoufflée, mais dans une attitude qui la montre déterminée à partir, sans provocation. Manifestement, elle part avec quelques-unes de ses affaires, étant rappelé que le couple passait beaucoup de temps ensemble au domicile de l’appelant. La porte d’entrée est compétemment ouverte. L’appelant vient à sa hauteur en la provoquant verbalement : « Vas-y, qu’est-ce que tu casses encore, vas-y, casse des trucs, vas-y, casse des trucs, vas-y (…) » et l’altercation physique reprend. A un moment donné, on voit la plaignante chuter au sol et se relever en direction de l’appelant. La plaignante se retrouve ensuite dos à l’appelant et franchit le seuil du logement. Au même moment, la chaîne de l’appelant tombe au sol. On peut se demander si celui-ci ne crée pas une mise en scène, dès lors que la chaîne se trouve dans sa main et qu’on le voit la jeter au sol. Cette vidéo démontre que l’appelant a voulu se faire justice lui-même en expulsant manu militari la plaignante qui refusait de quitter son domicile en dépit de ses injonctions répétées. L’appelant est non seulement énervé mais littéralement excédé. Il provoque la plaignante qui demeure calme. Il sied de préciser que l’altercation s’inscrit dans le cadre d’une relation de couple de plus d’une dizaine d’années et que la plaignante dormait à cette époque deux à trois fois par semaine au domicile de l’appelant où elle conservait des affaires personnelles (P. 4, p. 5). Le couple se disputait au point d’avoir nécessité l’intervention de la police en 2014 et 2016 (P. 4). La plaignante n’était donc pas une parfaite inconnue ou une simple connaissance. L’appelant n’était menacé d’aucun dommage sérieux et n’a subi aucune attaque digne de ce nom. En se montrant violant physiquement à l’encontre de sa compagne, il a donc envenimé la situation, exacerbé le conflit, et finalement provoqué les réactions agressives et l’opposition dont il entend tirer un fait justificatif. En pareille situation, l’usage de la force ne peut être qu’injustifié, ce d’autant qu’il suffisait à l’appelant d’appeler la police – comme il a fini du reste par le faire dans un second temps (P. 4, p. 5) – et d’attendre l’intervention des agents pour résoudre son conflit avec la plaignante. L’appelant est né en 1977, il avait 43 ans au moment des faits. On ne saurait considérer qu’il n’était pas en mesure de se comporter raisonnablement, à tout le moins sans faire usage de la violence physique, face à l’opposition d’une personne non violente avec qui il entretenait une relation depuis de nombreuses années et qui refusait de quitter les lieux. Il y a donc une disproportion manifeste entre l’atteinte à la protection du domicile, très relative au vu du contexte, subi par l’appelant et ses réactions violentes attentatoires à l’intégrité physique de la plaignante. Si la chute de celle-ci – que l’on voit dans la quatrième vidéo – peut éventuellement encore s’expliquer par le fait qu’elle est venue se confronter physiquement à l’appelant après une ultime provocation verbale de ce dernier, les autres lésions constatées sur la victime démontrent qu’il y a eu d’autres violences inacceptables à l’égard de celle-ci. L’excès de légitime défense est donc avéré. Par conséquent, le grief de l’appelant tombe à faux et l’infraction de lésions corporelles simples, qui a été retenue à bon droit par le tribunal de première instance, peut être confirmée.</w:t>
      </w:r>
    </w:p>
    <w:p>
      <w:r>
        <w:rPr>
          <w:b/>
        </w:rPr>
        <w:t>E. 4.1</w:t>
      </w:r>
    </w:p>
    <w:p>
      <w:r>
        <w:t>Se fondant sur l’art. 316 al. 1 CPP, l’appelant estime que la procédure aurait dû être classée ensuite du défaut de la partie plaignante à l’audience de conciliation devant le Ministère public.</w:t>
      </w:r>
    </w:p>
    <w:p>
      <w:r>
        <w:rPr>
          <w:b/>
        </w:rPr>
        <w:t>E. 4.2</w:t>
      </w:r>
    </w:p>
    <w:p>
      <w:r>
        <w:t>Aux termes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w:t>
      </w:r>
    </w:p>
    <w:p>
      <w:r>
        <w:rPr>
          <w:b/>
        </w:rPr>
        <w:t>E. 4.3</w:t>
      </w:r>
    </w:p>
    <w:p>
      <w:r>
        <w:t>En l’espèce, l’appelant se méprend, dès lors qu’aucune audience de conciliation n’a été appointée par le Ministère public. Celui-ci a convoqué les parties à une audience de confrontation le 6 janvier 2022 au sens de l’art. 146 CPP (PV aud. 1). Par conséquent, l’art. 316 al. 1 CPP auquel l’appelant se réfère n’est pas applicable, étant rappelé que le Ministère public n’a pas l’obligation de convoquer les parties à une audience de conciliation (Moreillon/Parein-Reymond, Petit commentaire, Code de procédure pénale, 2 e éd., Bâle 2016, n. 2 ad art. 316 CPP). Le moyen est infondé.</w:t>
      </w:r>
    </w:p>
    <w:p>
      <w:r>
        <w:rPr>
          <w:b/>
        </w:rPr>
        <w:t>E. 5.1</w:t>
      </w:r>
    </w:p>
    <w:p>
      <w:r>
        <w:t>L’appelant ne critique pas la fixation de la peine en tant que telle, dès lors qu’il conclut à son acquittement. Celle-ci sera toutefois examinée d’office.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5.3</w:t>
      </w:r>
    </w:p>
    <w:p>
      <w:r>
        <w:t>L’appelant s’en est pris à l’intégrité physique de la plaignante, sa compagne depuis une dizaine d’années. Il justifie ses faits et gestes par de la légitime défense alors que celle-ci refusait de quitter son domicile, lieu où elle dormait néanmoins deux à trois fois par semaine et où elle entreposait des effets personnels. La violence dont a fait preuve l’appelant est à l’évidence disproportionnée, puisqu’il pouvait avoir recours à un autre moyen pour retrouver l’usage exclusif de son bien, comme faire appel à la police et patienter jusqu’à l’arrivée des agents. L’appelant n’a fait preuve d’aucun remord pour les blessures infligées, ni d’aucune prise de conscience par rapport à son comportement. Il apparaît dans les vidéos comme une personne insultante, méprisante et provocatrice vis-à-vis de sa compagne. A décharge, à l’instar de la première juge, on retiendra que les évènements sont intervenus au sein d’un couple où la violence a pu s’inscrire de manière réciproque. Quant à l’absence d’inscription au casier judiciaire, il s’agit d’un élément neutre. L’appelant a excédé les limites de la légitime défense. Cette défense excessive n’est cependant pas excusable au sens de l’art. 16 al. 2 CP, dès lors qu’il est responsable des violences physiques infligées à la victime sans justification. Il faudrait ainsi faire application de l’art. 16 al. 1 CP et atténuer la peine. Toutefois, au vu des nombreuses lésions constatées sur la plaignante, l’atténuation de la peine ne pourrait qu’être extrêmement faible, au point qu’il doit être considéré que la sanction clémente prononcée par le tribunal de première instance de 40 jours-amende tient d’ores et déjà largement compte de cette atténuation. Cette peine sera confirmée. Tel est également le cas du montant du jour-amende arrêté à 30 fr., au vu de la situation financière de l’appelant. L’appelant, dont le casier judiciaire est vierge de toute inscription, remplit par ailleurs les conditions d’octroi du sursis. Son pronostic n’est en effet pas entièrement défavorable et il est à espérer que ce sursis, assorti d’un délai d’épreuve de deux ans, suffise à son amendement si une sanction immédiate est également prononcée, soit une amende de 300 fr. convertible en 10 jours de peine privative de liberté de substitution en cas de non-paiement fautif, étant donné l’absence de toute prise de conscience de l’appelant et a fortiori de remise en question.</w:t>
      </w:r>
    </w:p>
    <w:p>
      <w:r>
        <w:rPr>
          <w:b/>
        </w:rPr>
        <w:t>E. 6</w:t>
      </w:r>
    </w:p>
    <w:p>
      <w:r>
        <w:t>En définitive, l'appel de Q.________ doit être rejeté et le jugement entrepris intégralement confirmé. Compte tenu du rejet de l’appel, la demande d’indemnisation au sens de l’art. 429 CPP déposée par l’appelant doit être rejetée. Vu l’issue de la cause, les frais de la procédure d’appel, uniquement composé de l’émolument de jugement, par 2’130 fr. (art. 21 al. 1 et 2 TFIP [tarif des frais de procédure et indemnités en matière pénale du 28 septembre 2010 ; BLV 312.03.1]), sont mis à la charge de Q.________,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