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469 vom 5. Mai 2023</w:t>
      </w:r>
    </w:p>
    <w:p>
      <w:r>
        <w:t>VD Tribunal cantonal, 2023-05-05, FR</w:t>
      </w:r>
    </w:p>
    <w:p>
      <w:r>
        <w:rPr>
          <w:b/>
        </w:rPr>
        <w:t xml:space="preserve">Quelle: </w:t>
      </w:r>
      <w:r>
        <w:t>https://mcp.opencaselaw.ch/entscheid/vd_findinfo_Jug___2023___469</w:t>
      </w:r>
    </w:p>
    <w:p>
      <w:r>
        <w:t>FR: VD_FINDINFO Jug / 2023 / 469 du 5 mai 2023</w:t>
      </w:r>
    </w:p>
    <w:p>
      <w:r>
        <w:t>IT: VD_FINDINFO Jug / 2023 / 469 del 5 maggio 2023</w:t>
      </w:r>
    </w:p>
    <w:p>
      <w:pPr>
        <w:pStyle w:val="Heading2"/>
      </w:pPr>
      <w:r>
        <w:t>Regeste</w:t>
      </w:r>
    </w:p>
    <w:p>
      <w:r>
        <w:t>VOIES DE FAIT, MENACE{DROIT PÉNAL}, FAUTE, IRRESPONSABILITÉ, RESPONSABILITÉ LIMITÉE, RESPONSABILITÉ RESTREINTE{DROIT PÉNAL}, MESURE THÉRAPEUTIQUE INSTITUTIONNELLE, MESURE DE SÛRETÉ{DROIT PÉNAL} | 19 al. 2 CP, 47 CP, 49 al. 1 CP, 59 CP, 126 CPP (CH), 180 al. 2 CPP (CH), 221 al. 1 let. c CPP (CH)</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Le Tribunal correctionnel de l’arrondissement de la Broye et du Nord vaudois, dans son jugement du 5 mai 2023, a retenu des voies de fait qualifiées et menaces qualifiées pour les cas ci-après :</w:t>
      </w:r>
    </w:p>
    <w:p>
      <w:r>
        <w:rPr>
          <w:b/>
        </w:rPr>
        <w:t>E. 3.1.1</w:t>
      </w:r>
    </w:p>
    <w:p>
      <w:r>
        <w:t>Le 21 janvier 2021, Grand-Rue 37 à Orbe, A.X.________ a, alors qu'elle était au sol à la suite d’une dispute, asséné des coups de pied dans le dos et le visage de sa petite ‑ amie, S.________, qu'il avait rencontrée huit mois plus tôt au foyer « Champ ‑ Fleuri » à Glion où ils ont toujours fait chambre séparée.</w:t>
      </w:r>
    </w:p>
    <w:p>
      <w:r>
        <w:rPr>
          <w:b/>
        </w:rPr>
        <w:t>E. 3.1.2</w:t>
      </w:r>
    </w:p>
    <w:p>
      <w:r>
        <w:t>Du 3 au 8 avril 2021, A.X.________ a inquiété S.________ en lui envoyant de nombreux messages vocaux au contenu menaçant, notamment au contenu suivant « toi, je te jure, quand je vais te rechoper, je vais te buter sale pute. Je vais te choper et je vais te faire du sale mec mais tu ne vas pas te rendre compte comment, je vais te faire mal », « je te jure vous m'avez trompé, je vais vous choper, toi et Teuf, je vais vous choper, je vais vous faire du mal » et « tu sais pas avec qui tu es tombé ma gueule, là, tu sais pas avec qui tu es tombé mec et tu vas regretter quand tu vas me connaître ».</w:t>
      </w:r>
    </w:p>
    <w:p>
      <w:r>
        <w:rPr>
          <w:b/>
        </w:rPr>
        <w:t>E. 3.1.3</w:t>
      </w:r>
    </w:p>
    <w:p>
      <w:r>
        <w:t>Le 31 janvier 2022 à tout le moins, A.X.________ a posté divers messages à caractère menaçant à l’encontre de S.________ sur son profil Facebook, dont les termes sont les suivants : « je veux la guerre mnt tuez tt le monde ces enculé, tuez S.________ pute d’abord (sic) », « buter S.________ et je vous paye (sic) », « tuez S.________ je vous permet ou violer la cette pute de merde qui m’a destruit (sic) », « parce que S.________ m’a empoisonné avec [...] merci bandes de slag je vous haine juste quand enfer (sic) ».</w:t>
      </w:r>
    </w:p>
    <w:p>
      <w:r>
        <w:rPr>
          <w:b/>
        </w:rPr>
        <w:t>E. 3.2</w:t>
      </w:r>
    </w:p>
    <w:p>
      <w:r>
        <w:t>L’appelant conteste sa condamnation pour voies de fait et menaces qualifiées pour les cas ci-dessus (cas 2 et 4 de l’acte d’accusation du 9 janvier 2023). Il soutient que c’est à juste titre que les premiers juges ont considéré que la plainte déposée par le curateur de S.________ n’était pas valable, mais à tort que les conditions d’une poursuite d’office étaient réalisées, dès lors qu’il ne faisait selon lui pas ménage commun avec la victime. Il conteste également le fait que les voies de fait aient été commises à réitérées reprises.</w:t>
      </w:r>
    </w:p>
    <w:p>
      <w:r>
        <w:rPr>
          <w:b/>
        </w:rPr>
        <w:t>E. 3.3</w:t>
      </w:r>
    </w:p>
    <w:p>
      <w:r>
        <w:t>L’art. 126 al. 1 CP (Code pénal suisse du 21 décembre 1937 ; RS 311.0) punit, sur plainte, celui qui se sera livré sur une personne à des voies de fait qui n’auront causé ni lésion corporelle ni atteinte à la santé. L’art. 180 al. 1 CP quant à lui dispose que celui qui, par une menace grave, aura alarmé ou effrayé une personne sera, sur plainte, puni d’une peine privative de liberté de trois ans au plus ou d’une peine pécuniaire. L’art. 180 al. 2 let. b CP prévoit que la poursuite aura lieu d’office si l’auteur est le partenaire de la victime pour autant qu'ils fassent ménage commun pour une durée indéterminée et que l'atteinte ait été commise durant cette période ou dans l'année qui a suivi la séparation. Il en va de même des voies de fait au sens de l’art. 126 al. 2 let. c CP, lorsque celles-ci sont perpétrées à réitérées reprises. Les art. 126 al. 2 let. c et 180 al. 2 let. b CP visent une situation de concubinat qui crée une communauté domestique assimilable aux hypothèses de l’art. 123 ch. 2 al. 3 et 4 CP (TF 6B_757/2020 du 4 novembre 2020 consid. 2.2 et la référence citée).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et les références citées, SJ 2012 I 153 ; TF 6B_757/2020 ibidem ; TF 6B_1057/2015 du 25 mai 2016 consid. 1.1). Pour bien comprendre dans quelle limite s’inscrit le but de protection visé par la loi, il est utile de reprendre le rapport de la Commission des affaires juridiques du Conseil national du 28 octobre 2002 qui précise à cet égard ce qui suit : « Une protection spéciale ne se justifie qu’en cas de violence domestique, à savoir lorsque l’auteur fait ménage commun avec la victime. La victime, qui partage le même toit que l’auteur, se trouvera, en effet, souvent dans une relation de dépendance, qui peut être matérielle ou psychique et qui l’empêchera de décider librement s’il convient de déposer une plainte pénale. En cas de domicile séparé, la victime devrait, en revanche, posséder assez d’indépendance pour décider de poursuivre pénalement l’auteur et n’a pas besoin d’une protection particulière. L’exigence de la vie commune ne s’applique – comme le propose l’initiative parlementaire – qu’aux concubins et non aux couples mariés. Les partenaires doivent avoir formé une communauté d’existence destinée à durer toute la vie ou au moins une assez longue période. Il convient d’exclure les relations passagères ou tout autre rapport d’avance limité dans le temps. Aussi, proposons-nous de préciser que l’auteur doit faire ménage commun avec la victime ʺpour une durée indéterminéeʺ » (FF 2003 pp. 1758 ss). C’est ainsi la relation de dépendance que tend à créer la vie commune qui constitue le critère déterminant. En outre, l’élément de durée exigé par ces dispositions ne concerne pas la durée passée – soit le temps depuis lequel durait déjà le ménage commun au moment des faits – mais la durée future – soit la durée pour laquelle les concubins étaient convenus, juste avant les faits, de vivre ensemble à l’avenir.</w:t>
      </w:r>
    </w:p>
    <w:p>
      <w:r>
        <w:rPr>
          <w:b/>
        </w:rPr>
        <w:t>E. 3.4.1</w:t>
      </w:r>
    </w:p>
    <w:p>
      <w:r>
        <w:t>Il ressort des déclarations de S.________ du 21 janvier 2021, qu’elle et l’appelant ont noué une relation sentimentale dès octobre 2020, A.X.________ retenant quant à lui une date antérieure entre mai et juillet 2020 (cf. P. 4 et 64). Durant cette relation, les parties logeaient au sein de l’établissement psycho-social médicalisé de Champ-Fleuri à Glion. Les responsables ne les ayant pas autorisés à dormir ensemble, A.X.________ et S.________ ont toujours conservé leur propre chambre jusqu’au départ de A.X.________ en juin 2021. Force est d’admettre en l’espèce que A.X.________ et S.________ ne faisaient pas ménage commun. Ceux-ci séjournant au foyer dans des chambres séparées, ils n’ont jamais formé une « communauté de lit » . Il ne ressort pas non plus du dossier qu’ils aient convenu d’emménager ensemble à leur sortie du foyer, afin que leur relation s’inscrive dans la durée. Il apparaît ainsi qu’ils vivaient sous le même toit uniquement en raison de circonstances indépendantes de leur volonté. Quoi qu’il en soit, l’élément essentiel qui fait défaut en l’occurrence est la dépendance de la victime par rapport à son partenaire. En effet, le fait que l’appelant et S.________ aient vécu au sein d’un établissement psycho-social médicalisé reflète une dépendance économique et sociale complète des parties vis-à-vis des services sociaux. S.________ ne dépendait ainsi absolument pas de A.X.________ d’un point de vue matériel. De plus, dès lors que S.________ se trouvait dans le cadre d’un établissement destiné à accueillir des personnes souffrant de problématiques psychiatriques et addictives et qu’elle était encadrée au quotidien par toute une équipe pluridisciplinaire, elle ne se trouvait à l’évidence pas non plus dans une situation de dépendance sociale ou spirituelle à l’égard de l’appelant. Dans le cas présent, l’unique dépendance pouvant être admise en raison de la relation sentimentale nouée est une certaine dépendance psychique, d’un niveau toutefois insuffisant à elle seule pour retenir l’existence d’un besoin accru de protection. Ainsi, compte tenu du cadre et du soutien dont S.________ bénéficiait constamment, sans lien avec sa relation avec l’appelant, elle n’était manifestement pas dans une situation de dépendance caractérisée qui l’aurait empêchée de déposer plainte contre celui-ci si telle avait été sa volonté. La Cour de céans considère dès lors que S.________ et l’appelant ne faisaient pas « ménage commun pour une durée indéterminée » au sens des art. 126 al. 2 let. c et 180 al. 2 let. b CP, de telle sorte que la poursuite ne pouvait avoir lieu d’office. Ce moyen étant admis, il n’y a pas lieu d’examiner si les voies de fait ont été commises à réitérées reprises.</w:t>
      </w:r>
    </w:p>
    <w:p>
      <w:r>
        <w:rPr>
          <w:b/>
        </w:rPr>
        <w:t>E. 3.4.2</w:t>
      </w:r>
    </w:p>
    <w:p>
      <w:r>
        <w:t>La Chambre de céans estime que c’est à juste titre que les premiers juges ont considéré que S.________ n’était pas privée de l’exercice de ses droits civils au moment des faits, de telle sorte que son curateur n’était pas habilité à se substituer à elle pour faire valoir ses droits devant les autorités de poursuite pénale. La dénonciation qu’il a adressée le 8 avril 2021 au Ministère public (P. 7) ne pouvait dès lors remplacer le dépôt d’une plainte formelle par l’intéressée au sens de l’art. 30 CP. [...], curateur, en était conscient puisqu’il a précisé dans la dénonciation que sa pupille déposerait plainte ultérieurement. Or, celle-ci n’a pas déposé plainte par la suite, alors même que, lors de l’intervention de la police, elle avait été rendue attentive au délai de trois mois dont elle disposait pour ce faire (art. 31 CP, P. 4). La dénonciation déposée le 20 avril 2021 par Me Sarah Tobler, avocate consultée par le curateur au nom de sa pupille, ne saurait valoir dépôt de plainte formel. Ainsi, faute de plainte déposée dans le délai péremptoire de l’art. 31 CP, l’appelant doit être libéré des chefs d’accusation de voies de fait et menaces pour les cas 2 et 4 de l’acte d’accusation du 9 janvier 2023 (cf. supra consid. 3.1.1 et 3.1.2).</w:t>
      </w:r>
    </w:p>
    <w:p>
      <w:r>
        <w:rPr>
          <w:b/>
        </w:rPr>
        <w:t>E. 3.4.3</w:t>
      </w:r>
    </w:p>
    <w:p>
      <w:r>
        <w:t>L’appelant a requis sa libération du chef d’accusation de menaces en lien avec le cas 4 de l’acte d’accusation, omettant de mentionner le cas 8 pour lequel cette infraction a également été retenue par le Tribunal (cf. supra consid. 3.1.3). Pour ce cas, le Tribunal a considéré à juste titre que S.________ n’avait pas déposé plainte pour les messages menaçants, celle-ci n’ayant pas mentionné de menaces dans sa plainte du 3 février 2022 (P. 25, p. 4) et son conseil s’étant contenté de produire les messages sans déposer plainte formellement dans son courrier du 8 février 2022 (P. 29). Or, après avoir constaté que S.________ n’avait pas déposé plainte pour les faits précités, les premiers juges ont retenu l’infraction de menaces sur la base du même raisonnement que celui qu’ils avaient effectué pour les cas 2 et 4, estimant ainsi que l’infraction se poursuivait d’office (cf. jgmt p. 17). Pour les raisons évoquées sous consid. 3.4.1, on ne saurait considérer que l’appelant et la victime faisaient ménage commun, de telle sorte que la poursuite ne pouvait avoir lieu d’office. Ainsi, par souci de cohérence, la Chambre de céans considère qu’il y a lieu de libérer l’appelant du chef d’accusation de menaces pour le cas 8 également.</w:t>
      </w:r>
    </w:p>
    <w:p>
      <w:r>
        <w:rPr>
          <w:b/>
        </w:rPr>
        <w:t>E. 4.1</w:t>
      </w:r>
    </w:p>
    <w:p>
      <w:r>
        <w:t>Compte tenu du fait que l’appelant est libéré des chefs d’accusation de voies de fait qualifiées et menaces qualifiées, les sanctions prononcées, à savoir la peine privative de liberté et l’amende doivent être revues à la baisse. Il n’y a pas lieu de revoir la peine pécuniaire sanctionnant les injures et l’empêchement d’accomplir un acte officiel.</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106 CP, Sauf disposition contraire de la loi, le montant maximum de l’amende est de 10’000 fr. (al. 1). Le juge fixe l’amende et la peine privative de liberté de substitution en tenant compte de la situation de l’auteur afin que la peine corresponde à la faute commise (al. 3).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JdT 1997 IV 108 ; ATF 118 IV 342 consid. 2d, JdT 1994 IV 67 ; TF 6B_965/2018 du 15 novembre 2018 consid. 3.3).</w:t>
      </w:r>
    </w:p>
    <w:p>
      <w:r>
        <w:rPr>
          <w:b/>
        </w:rPr>
        <w:t>E. 4.2.2</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précité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ainsi qu'en raison d'une éventuelle tentative selon l'art. 22 al. 1 CP (ATF 136 précité consid. 5.7).</w:t>
      </w:r>
    </w:p>
    <w:p>
      <w:r>
        <w:rPr>
          <w:b/>
        </w:rPr>
        <w:t>E. 4.2.3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4.2.4</w:t>
      </w:r>
    </w:p>
    <w:p>
      <w:r>
        <w:t>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6B_1040/2019 du 17 octobre 2019 consid. 2.1). Le défaut de prise de conscience de la faute peut justifier un pronostic défavorable, car seul celui qui se repent de son acte mérite la confiance que l’on doit pouvoir accorder au condamné bénéficiant d’un sursis (TF 6B_489/2021 du 11 mars 2022 consid. 1.1 ; TF 6B_261/2021 du 2 février 2022 consid. 3.1.1). Le juge doit par ailleurs motiver sa décision (cf. art. 50 CP) de manière à permettre de vérifier s’il a tenu compte de tous les éléments pertinents et comment ils ont été appréciés (ATF 135 IV 180 précité consid. 2.1 et les réf.). Dans l’émission du pronostic, le juge dispose d’un large pouvoir d’appréciation.</w:t>
      </w:r>
    </w:p>
    <w:p>
      <w:r>
        <w:rPr>
          <w:b/>
        </w:rPr>
        <w:t>E. 4.3.1</w:t>
      </w:r>
    </w:p>
    <w:p>
      <w:r>
        <w:t>En l’espèce, la culpabilité de A.X.________ est très lourde. Celui-ci s’en est pris violemment à la plaignante et aux forces de l’ordre. Il a récidivé en cours d’enquête démontrant qu’il n’avait que faire des autorités, seule la prison parvenant à mettre un terme à ses activités délictueuses. Sa prise de conscience est inexistante, celui-ci ne faisant que s’apitoyer sur son propre sort. Sa collaboration lors de la procédure a été mauvaise. Elle ne s’est pas améliorée en procédure d’appel, A.X.________ ayant refusé de quitter sa cellule pour se présenter à l’audience. Il n’y a pas d’élément à décharge en dehors d’une diminution moyenne de responsabilité, l’expertise psychiatrique ayant mis en évidence une capacité cognitive moyennement diminuée s’agissant du caractère illicite – et amoral – de ses actes, ainsi qu’une capacité volitive de se déterminer d’après cette appréciation seulement moyennement préservée (P. 64, p. 20-21 et 24-25). Compte tenu de cette diminution moyenne de responsabilité, la faute globale de l’appelant doit être qualifiée d’importante.</w:t>
      </w:r>
    </w:p>
    <w:p>
      <w:r>
        <w:rPr>
          <w:b/>
        </w:rPr>
        <w:t>E. 4.3.2</w:t>
      </w:r>
    </w:p>
    <w:p>
      <w:r>
        <w:t>La violence physique dont fait preuve l’appelant et ses antécédents justifient le prononcé d’une peine privative de liberté pour chacune des infractions concernées par ce type de sanction, ce d’autant plus que les peines prononcées jusqu’ici n’ont pas eu l’effet dissuasif souhaité. L’infraction la plus grave est constituée par les lésions corporelles simples (art. 123 ch. 1 CP) (cas 9 de l’acte d’accusation du 9 janvier 2023 [cf. supra C consid. 2.3]), qui doivent être sanctionnées d’une peine privative de liberté de 5 mois, qu’il y a lieu d’augmenter de 4 mois pour les deux cas de violence ou menaces contre les autorités et les fonctionnaires (art. 285 CP) (cas 6 de l’acte d’accusation du 9 janvier 2023 [cf. supra C consid. 2.2] et cas 2 de l’acte d’accusation complémentaire du 29 mars 2023 [cf. supra C consid. 2.5]), soit 9 mois de peine privative de liberté au total. Quant au pronostic qu’il y a lieu de poser pour l’octroi du sursis, il est à l’évidence entièrement défavorable. On rappellera en effet que l’appelant n’a aucunement pris conscience de la gravité de ses actes et qu’il a récidivé en cours de procédure.</w:t>
      </w:r>
    </w:p>
    <w:p>
      <w:r>
        <w:rPr>
          <w:b/>
        </w:rPr>
        <w:t>E. 4.3.3</w:t>
      </w:r>
    </w:p>
    <w:p>
      <w:r>
        <w:t>S’agissant des contraventions, il y a lieu de sanctionner d’une amende d’un montant de 150 fr. la violation de l’art. 19a ch. 1 LStup (loi fédérale sur les stupéfiants et les substances psychotropes du 3 octobre 1951 ; RS 812.121) qui fait l’objet du cas 1 de l’acte d’accusation du 9 janvier 2023 (cf. supra C consid. 2.1) et du cas 2 de l’acte d’accusation complémentaire du 29 mars 2023 (cf. supra C consid. 2.6). ll faut y ajouter 50 fr. pour la contravention à la loi fédérale sur le transport des voyageurs (LTV ; RS 745.1) mentionnée au cas 1 de l’acte d’accusation complémentaire (cf. supra C consid. 2.4), soit un total de 200 francs, convertible en 2 jours de peine privative de liberté de substitution.</w:t>
      </w:r>
    </w:p>
    <w:p>
      <w:r>
        <w:rPr>
          <w:b/>
        </w:rPr>
        <w:t>E. 5.1</w:t>
      </w:r>
    </w:p>
    <w:p>
      <w:r>
        <w:t>Dans un second moyen, l’appelant conteste la mesure thérapeutique institutionnelle prononcée contre lui. Il soutient tout d’abord que les premiers juges se sont fondés à tort sur le rapport d’expertise psychiatrique pour ordonner cette mesure alors que les résultats de l’expertise ne seraient plus d’actualité en raison de la libération de détention provisoire qu’il a obtenue en août 2022. Il fait en effet valoir qu’il aurait réussi à respecter les mesures de substitution durant plusieurs mois, ce qui démontrerait sa volonté de collaboration. Il allègue également que l’atteinte causée par le traitement institutionnel serait disproportionnée eu égard aux infractions qu’il risquerait de commettre s’il n’était pas placé en milieu fermé. Il rappelle pour le surplus qu’il est opposé à un placement su sein d’un établissement fermé, ce qui diminuerait les chances de succès de la mesure envisagée au contraire des perspectives offertes par un traitement ambulatoire auquel il consent.</w:t>
      </w:r>
    </w:p>
    <w:p>
      <w:r>
        <w:rPr>
          <w:b/>
        </w:rPr>
        <w:t>E. 5.2.1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56a CP rappelle que si plusieurs mesures s'avèrent appropriées, mais qu'une seule est nécessaire, le juge ordonne celle qui porte à l'auteur les atteintes les moins graves.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ainsi que sur les possibilités de faire exécuter la mesure (art. 56 al. 3 CP). L'expert devra ainsi se prononcer, en particulier, sur la forme du traitement et la mesure qui lui semble la plus appropriée (TF 6B_28/2017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w:t>
      </w:r>
    </w:p>
    <w:p>
      <w:r>
        <w:rPr>
          <w:b/>
        </w:rPr>
        <w:t>E. 5.2.2</w:t>
      </w:r>
    </w:p>
    <w:p>
      <w:r>
        <w:t>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Le risque de récidive visé par l'art. 59 al. 3 CP doit, sur la base de l'appréciation d'une série de circonstances, être concret et hautement probable. Au regard du principe de la proportionnalité, le placement dans un établissement fermé ne peut être ordonné que lorsque le comportement ou l'état du condamné représente une grave mise en danger pour la sécurité et l'ordre dans l'établissement (TF 6B_210/2015, consid. 2.1.2 et arrêts cités). Le Tribunal fédéral a jugé que, le fait de déterminer si un auteur doit, conformément à l'art. 59 al. 3 CP, être placé dans une institution fermée ou un établissement pénitentiaire (art. 76 al. 2 CP) est une question qui incombe à l'autorité d'exécution des peines (ATF 142 IV 1 consid. 2, JdT 2016 IV 329). La question tranchée par cet arrêt ne porte pas seulement sur le choix possible, prévu à l’art. 59 al. 3 CP, entre l’institution fermée et l’établissement pénitentiaire, mais encore sur la décision de savoir si la mesure de l’art. 59 CP doit être exécutée en milieu fermé ou non. Le Tribunal fédéral précise ainsi, au considérant. 2.5 de cet arrêt, que le choix du placement en milieu fermé constitue une question d’exécution et relève en conséquence de la compétence des autorités d’exécution. Si, toutefois, le juge du fond estime que les conditions de l’art. 59 al. 3 CP sont remplies au moment du jugement, il peut l’exprimer dans les considérants, mais non dans le dispositif de sa décision. Il s’agira alors d’une recommandation à l’autorité d’exécution qui n’aura pas de valeur contraignante pour celle-ci. Aux termes de l'art. 63 al. 1 CP,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w:t>
      </w:r>
    </w:p>
    <w:p>
      <w:r>
        <w:rPr>
          <w:b/>
        </w:rPr>
        <w:t>E. 5.3.1</w:t>
      </w:r>
    </w:p>
    <w:p>
      <w:r>
        <w:t>En l’espèce, les experts retiennent les diagnostics psychiatriques de psychose non-organique sans précision, de retard mental léger, d’épisode dépressif léger, ainsi que de troubles mentaux et du comportement en lien avec l’utilisation de multiples substances psychoactives (syndrome de dépendance, actuellement abstinent en milieu protégé) (P. 64, p. 17). Ces troubles s’accompagnent d’attitudes oppositionnelles, provocatrices et démonstratives, ainsi que de comportements « d’allure dyssociale » , tels qu’un mépris des obligations sociales et des droits d’autrui, un manque d’empathie, une faible tolérance à la frustration, une tendance à blâmer autrui et un comportement qui n’est pas modifié par les expériences ou les sanctions (P. 64, p. 19). Les experts qualifient ces troubles de graves, étant donné qu’ils occasionnent des dysfonctionnements dans la majorité des domaines de la vie de l’appelant et qu’ils subsistent malgré la mise en place de traitements psychiatriques et médicamenteux (P. 64, p. 20). S’agissant du risque de récidive, les experts considèrent qu’il est élevé, eu égard notamment au manque d’introspection de l’appelant, de sa mauvaise compliance au traitement et du fait qu’il présente des comportements violents et « d’allure dyssociale » depuis l’enfance (P. 64, p. 21). Les experts préconisent une prise en charge psychiatrique institutionnelle sur une durée suffisamment longue, permettant à la fois un traitement thérapeutique et médicamenteux des troubles psychiques de l’appelant, mais aussi de ses dépendances à de multiples substances psychoactives (P. 64, p. 22). Les experts relèvent que les nombreuses prises en charge thérapeutiques ambulatoires, qu’elles aient été volontaires ou contraintes, ont été vouées à l’échec par le passé et qu’au vu de l’ampleur des troubles de A.X.________ et de son manque de conscience morbide, un risque d’interruption de suivi persiste. Les experts concluent dès lors qu’un suivi ambulatoire reste insuffisant dans la situation actuelle. Le rapport d’expertise conclut qu’une mesure thérapeutique institutionnelle au sens de l’art. 59 CP semble la plus adaptée, dans la situation actuelle de A.X.________, afin de stabiliser son état psychique et ainsi limiter les risques de commission d’infraction qu’il présente (P. 64, p. 28). Ils ajoutent qu’en raison de la sévérité de sa pathologie et son absence de conscience morbide, un traitement ordonné contre la volonté de A.X.________ pourrait davantage réduire le risque de commission d’infractions, favorisant l’adhésion thérapeutique et permettant de stabiliser sont état psychique sur du long terme (P. 64, p. 30).</w:t>
      </w:r>
    </w:p>
    <w:p>
      <w:r>
        <w:rPr>
          <w:b/>
        </w:rPr>
        <w:t>E. 5.3.2</w:t>
      </w:r>
    </w:p>
    <w:p>
      <w:r>
        <w:t>L’appelant fait valoir que cette expertise n’est plus d’actualité dès lors qu’elle ne prend pas en compte les événements postérieurs à sa libération. Toutefois, le fait que l’appelant soit parvenu à respecter durant quelques mois les mesures de substitution à la détention provisoire ne saurait relativiser l’évaluation du risque de récidive des experts. Au contraire, on constate qu’à la suite de sa libération, malgré la menace d’être à nouveau incarcéré et un avertissement formel par courrier de la Direction de la procédure, l’appelant a non seulement manqué six rendez-vous fixés par la Fondation du Levant, mais également commis de nouvelles infractions qui ont donné lieu à une mise en accusation complémentaire par le Ministère public. Force est d’admettre que l’échec de l’appelant à respecter le cadre des mesures de substitution à la détention provisoire sur la durée signe l’inanité d’un traitement conduit sur un mode ambulatoire. L’appelant est d’ailleurs conscient de cette réalité puisque, lors de son audition du 16 février 2023 au sujet des motifs de révocation des mesures de substitution, il a déclaré au Président du Tribunal d’arrondissement de la Broye et du Nord vaudois : « Je ne peux pas m’en sortir si je ne suis pas dans un établissement de soins. Quand je suis à la rue, je me retrouve avec des potes qui se droguent et je ne m’en sors pas » . On relèvera pour le surplus, qu’en raison de cette addiction fortement ancrée, l’appelant a récidivé, alors même qu’il était détenu, puisqu’il a été sanctionné par la Direction de la Prison de La Croisée le 25 juillet 2023 pour avoir consommé des produits stupéfiants. Il ne fait dès lors aucun doute qu’il ne parviendrait pas à rester abstinent sans être placé dans une institution. Ainsi, au vu de sa dépendance importante aux produits stupéfiants et de son instabilité psychique, l’appelant est manifestement incapable de respecter le cadre ouvert d’un suivi ambulatoire. Le rapport d’expertise psychiatrique conserve dès lors toute sa pertinence, tant en ce qui concerne l’évaluation du risque de récidive que de l’efficacité de la mesure thérapeutique institutionnelle recommandée. Pour le surplus, le fait que l’appelant soit en l’état opposé à la mesure institutionnelle en cause ne fait qu’accentuer la nécessité d’une exécution en milieu fermé, tel que l’établissement Curabilis à Genève comme le préconisent les experts (P. 64, p. 29, let. h). S’agissant de la proportionnalité de la mesure, contrairement à ce que fait valoir l’appelant, celle-ci est manifestement respectée. En effet, compte tenu de sa faible résistance à la frustration et de son fort potentiel de violence, l’appelant présente une dangerosité significative. Celui-ci s’est en pris physiquement à S.________ qui a été blessée et contrairement à ce qu’il indique, à sa sortie de détention, il n’a pas commis que des infractions de peu de gravité, puisqu’il s’est montré violent envers des policiers, les a menacés de mort et a tenté de mordre l’un d’eux. Ainsi, compte tenu du risque élevé de récidive et du bien juridique menacé – particulièrement important puisqu’il s’agit de l’intégrité physique d’autrui – la pesée des intérêts en présence commande le prononcé d’une mesure institutionnelle en milieu fermé. En effet, il appert qu’une mesure thérapeutique institutionnelle est seule à même de détourner l’appelant de la commission de nouvelles infractions en lien avec ses troubles graves tout en protégeant les tiers pendant sa prise en charge. Le grief de l’appelant s’agissant du prononcé d’une mesure thérapeutique institutionnelle doit dès lors être rejeté.</w:t>
      </w:r>
    </w:p>
    <w:p>
      <w:r>
        <w:rPr>
          <w:b/>
        </w:rPr>
        <w:t>E. 6</w:t>
      </w:r>
    </w:p>
    <w:p>
      <w:r>
        <w:t>. En définitive, l’appel de A.X.________ doit être partiellement admis. Le jugement entrepris sera réformé dans le sens des considérants qui précèdent. Les frais de première instance seront toutefois laissés entièrement à la charge de A.X.________, dès lors que c’est son comportement civilement répréhensible qui a donné lieu à l’ouverture de la procédure (art. 426 al. 2 CPP). Même si l’absence de plainte n’a pas permis de prononcer de sanction à l’encontre de l’appelant, les comportements en cause ont porté atteinte à l’intégrité et à la personnalité de la victime (art. 28 CC [Code civil suisse du 10 décembre 1907 ; RS 210]).</w:t>
      </w:r>
    </w:p>
    <w:p>
      <w:r>
        <w:rPr>
          <w:b/>
        </w:rPr>
        <w:t>E. 7</w:t>
      </w:r>
    </w:p>
    <w:p>
      <w:r>
        <w:t>La détention subie par l’appelant depuis le jugement de première instance sera déduite (art. 51 CP). Le maintien de celui-ci en détention pour des motifs de sûreté sera également ordonné pour parer le risque de réitération, considéré comme élevé par les experts (art. 221 al. 1 let. c CPP).</w:t>
      </w:r>
    </w:p>
    <w:p>
      <w:r>
        <w:rPr>
          <w:b/>
        </w:rPr>
        <w:t>E. 8</w:t>
      </w:r>
    </w:p>
    <w:p>
      <w:r>
        <w:t>Vu l’issue de la cause, les frais de procédure d’appel, constitués de l’émolument d’audience et de jugement par 3'040 fr. (art. 21 al. 1 et 2 TFIP [tarif des frais de procédure et indemnités en matière pénale du 28 septembre 2010 ; BLV 312.03.1]) sera mis par moitié à la charge de l’appelant, qui succombe partiellement (art. 428 al. 1 CPP). Outre l’émolument, les frais d’appel comprennent également les indemnités allouées au défenseur d’office de l’appelant et au conseil de la partie plaignante (art. 422 al. 2 let. a CPP). S.________ et son conseil ayant été dispensés de comparaître à l’audience d’appel, il n’y a pas lieu d’indemniser Me Sara Tobler. S’agissant de l’indemnité de Me Alexa Landert, défenseur d’office, celle-ci doit être arrêtée sur la base de la liste d’opérations produite à l’audience d’appel qui est adéquate, si ce n’est que le temps estimé de l’audience sera ajusté à sa durée effective. Le temps d’activité à indemniser doit ainsi être fixé à 12 heures et 45 minutes, au tarif horaire de 180 francs. Aux honoraires de 2’295 fr., il convient d’ajouter des débours forfaitaires à concurrence de 2 % et non de 5 % comme indiqué sur la note d’honoraires (art. 3bis al. 1 RAJ [règlement du 7 décembre 2010 sur l'assistance judiciaire en matière civile ; BLV 211.02.3], applicable par renvoi de l’art. 26b TFIP), soit 45 fr. 90, deux vacations forfaitaires de 120 fr. chacune, ainsi que la TVA, soit 198 fr. 75. L’indemnité s’élève donc à 2'779 fr. 65, débours et TVA compris. L’appelant sera tenu de rembourser l’indemnité de défense d’office dès que sa situation financière le permettra (art. 135 al. 4 CPP).</w:t>
      </w:r>
    </w:p>
    <w:p>
      <w:r>
        <w:rPr>
          <w:b/>
        </w:rPr>
        <w:t>E. 9</w:t>
      </w:r>
    </w:p>
    <w:p>
      <w:r>
        <w:t>Pour le surplus, le dispositif du jugement de la Cour d’appel communiqué aux parties le 28 septembre 2023 omettant à tort d’indiquer l’application des art. 19 al. 2 CP et 221 al. 1 let. c CPP, celui-ci sera rectifié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