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465 vom 23. August 2023</w:t>
      </w:r>
    </w:p>
    <w:p>
      <w:r>
        <w:t>VD Tribunal cantonal, 2023-08-23, FR</w:t>
      </w:r>
    </w:p>
    <w:p>
      <w:r>
        <w:rPr>
          <w:b/>
        </w:rPr>
        <w:t xml:space="preserve">Quelle: </w:t>
      </w:r>
      <w:r>
        <w:t>https://mcp.opencaselaw.ch/entscheid/vd_findinfo_Jug___2023___465</w:t>
      </w:r>
    </w:p>
    <w:p>
      <w:r>
        <w:t>FR: VD_FINDINFO Jug / 2023 / 465 du 23 août 2023</w:t>
      </w:r>
    </w:p>
    <w:p>
      <w:r>
        <w:t>IT: VD_FINDINFO Jug / 2023 / 465 del 23 agosto 2023</w:t>
      </w:r>
    </w:p>
    <w:p>
      <w:pPr>
        <w:pStyle w:val="Heading2"/>
      </w:pPr>
      <w:r>
        <w:t>Regeste</w:t>
      </w:r>
    </w:p>
    <w:p>
      <w:r>
        <w:t>CIRCULATION ROUTIÈRE{DROIT DE LA CIRCULATION ROUTIÈRE}, REJET DE LA DEMANDE | 90 al. 1 LCR, 91a al. 1 LCR, 92 al. 1 LCR, 10 CPP (CH)</w:t>
      </w:r>
    </w:p>
    <w:p>
      <w:pPr>
        <w:pStyle w:val="Heading2"/>
      </w:pPr>
      <w:r>
        <w:t>Erwägungen</w:t>
      </w:r>
    </w:p>
    <w:p>
      <w:r>
        <w:rPr>
          <w:b/>
        </w:rPr>
        <w:t>E. 1.1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6B_505/2019 du 26 juin 2019 consid. 1.1.1; TF 6B_217/2019 du 4 avril 2019 consid. 3.1 et TF 6B_155/2019 du 29 mars 2019 consid. 2.1). Le refus d'instruire ne viole ainsi le droit d'être entendu des parties que si l'appréciation anticipée de la pertinence du moyen de preuve offert, à laquelle le juge a procédé, est entachée d'arbitraire (ATF 144 II 427 consid. 3.1.3 p. 435 ; ATF 141 I 60 consid. 3.3 p. 64 ; TF 6B_1436/2022 du 19 octobre 2023 consid. 2.1 ; TF 6B_872/2022 du 1 er mars 2023 consid. 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(TF 6B_44/2014 du 10 juillet 2014 consid. 2.2 ; TF 6B_614/2012 du 15 février 2013 consid. 3.2.3,</w:t>
      </w:r>
    </w:p>
    <w:p>
      <w:r>
        <w:rPr>
          <w:b/>
        </w:rPr>
        <w:t>E. 3.2</w:t>
      </w:r>
    </w:p>
    <w:p>
      <w:r>
        <w:t>L’appelant requiert pour la première fois en deuxième instance des photographies du véhicule de B.________, ce qui est contraire aux règles de la bonne foi. Dans tous les cas, cette réquisition n’est pas nécessaire au traitement de l’appel, dans la mesure où la question des dégâts aux carrosseries des véhicules impliqués n’est pas de nature à modifier les autres éléments de preuve au dossier, qui seront développés ci-après. Cette réquisition doit ainsi être rejetée.</w:t>
      </w:r>
    </w:p>
    <w:p>
      <w:r>
        <w:rPr>
          <w:b/>
        </w:rPr>
        <w:t>E. 4.1</w:t>
      </w:r>
    </w:p>
    <w:p>
      <w:r>
        <w:t>L’appelant conteste sa condamnation, au motif qu’il ne serait pas l’auteur des faits incriminés. Il invoque une violation de la présomption d’innocence, affirmant qu’il existerait des incertitudes concernant les dommages relevés sur les véhicules, contestant la valeur probante des déclarations de B.________ et invoquant l’absence d’antécédents le concernant.</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6B_490/2023 précité consid. 2.1 ; TF 6B_912/2022 du 7 août 2023 consid. 3.1.3).</w:t>
      </w:r>
    </w:p>
    <w:p>
      <w:r>
        <w:rPr>
          <w:b/>
        </w:rPr>
        <w:t>E. 4.3</w:t>
      </w:r>
    </w:p>
    <w:p>
      <w:r>
        <w:t>En l’espèce, l’appelant passe sous silence deux éléments probatoires qui l’accablent dans la présente affaire. Premièrement, les indications fournies à la police par le lésé pour l’identifier qui se sont avérées exactes, soit le type de véhicule signalé, sa couleur, les plaques valaisannes, le numéro d’immatriculation (à un chiffre près) et un conducteur au cheveux clairs (en réalité gris). Autant de concordances avec l’appelant ne peuvent être le fruit du hasard. Deuxièmement, le fait que l’appelant a reconnu avoir emprunté le même jour et à la même heure la route sur laquelle l’accident a eu lieu, ainsi qu’être le seul utilisateur de son véhicule. L’appelant n’a en outre pas été en mesure d’expliquer pourquoi son numéro de plaque a été relevé par B.________ s’il n’était pas l’auteur des faits. Enfin, contrairement à ce que soutient l’appelant, le constat des policiers, soit que les dégâts observés par leurs soins sur le pare-chocs de son véhicule ne sont pas compatibles avec ses déclarations, est probant, la maréchaussée étant habituée à faire ce genre de constats. Il n’y a en tous les cas rien à tirer de ces dégâts qui puisse plaider en faveur de l’innocence de l’appelant. Au contraire, comme l’a retenu le premier juge, sa culpabilité est évidente. L’état de fait retenu par le Tribunal de police doit ainsi être confirmé.</w:t>
      </w:r>
    </w:p>
    <w:p>
      <w:r>
        <w:rPr>
          <w:b/>
        </w:rPr>
        <w:t>E. 5</w:t>
      </w:r>
    </w:p>
    <w:p>
      <w:r>
        <w:t>L’appelant ne conteste pas en tant que telles les qualifications juridiques des faits retenus à son encontre, soit la violation simples des règles de la circulation, l’entrave aux mesures de constatation de l’incapacité de conduire et la violation des obligations en cas d’accident. La motivation du Tribunal de police à ce sujet étant convaincante, elles peuvent être confirmées par adoption de motifs (cf. jugement p. 8 et 9 ; art. 82 al. 4 CP).</w:t>
      </w:r>
    </w:p>
    <w:p>
      <w:r>
        <w:rPr>
          <w:b/>
        </w:rPr>
        <w:t>E. 6.1</w:t>
      </w:r>
    </w:p>
    <w:p>
      <w:r>
        <w:t>L’appelant ne conteste pas non plus la peine prononcée à son encontre. Celle-ci doit toutefois être examinée d’office.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6.3</w:t>
      </w:r>
    </w:p>
    <w:p>
      <w:r>
        <w:t>Le premier juge a considéré que la fuite de l’appelant à la suite de l’accident dénotait une absence de scrupules manifeste à ne pas vouloir assumer ses responsabilités en tant que conducteur d’un véhicule et que ses dénégations démontraient une absence de prise de conscience. Il n’a retenu aucun élément à décharge et a considéré qu’une peine pécuniaire pouvait entrer en considération pour sanctionner le comportement de l’appelant, ainsi qu’une amende pour sanctionner les deux contraventions, assortie d’une peine privative de liberté de substitution en cas de non-paiement fautif. Il n’y a pas lieu de s’écarter de cette motivation. Une peine pécuniaire de 60 jours apparaît adéquate, de même que la quotité de 90 fr. le jour-amende. Cette peine peut être assortie du sursis. Une amende de 1'400 fr., convertible en 14 jours de peine privative de liberté en cas de non-paiement fautif est également approprié.</w:t>
      </w:r>
    </w:p>
    <w:p>
      <w:r>
        <w:rPr>
          <w:b/>
        </w:rPr>
        <w:t>E. 7</w:t>
      </w:r>
    </w:p>
    <w:p>
      <w:r>
        <w:t>La culpabilité de l’appelante étant intégralement confirmée, il n’y a pas lieu de modifier le sort des frais judiciaires de première instance, ni de lui allouer une indemnité au sens de l’art. 429 CPP pour la procédure de première instance et pour la procédure d’appel.</w:t>
      </w:r>
    </w:p>
    <w:p>
      <w:r>
        <w:rPr>
          <w:b/>
        </w:rPr>
        <w:t>E. 8</w:t>
      </w:r>
    </w:p>
    <w:p>
      <w:r>
        <w:t>Il résulte de ce qui précède que l’appel, manifestement mal fondé, doit être rejeté sans échange d’écritures (art. 390 al. 2 CPP par renvoi de l’art. 406 al. 4 CPP) et le jugement entrepris confirmé. Les frais de la procédure d’appel, par 1’100 fr. (art. 21 al. 1 TFIP [Tarif des frais de procédure et indemnités en matière pénale du 28 septembre 2010 ; BLV 312.03.1]), seront mis à la charge de l’appelant, qui succombe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