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461 vom 13. Juni 2023</w:t>
      </w:r>
    </w:p>
    <w:p>
      <w:r>
        <w:t>VD Tribunal cantonal, 2023-06-13, FR</w:t>
      </w:r>
    </w:p>
    <w:p>
      <w:r>
        <w:rPr>
          <w:b/>
        </w:rPr>
        <w:t xml:space="preserve">Quelle: </w:t>
      </w:r>
      <w:r>
        <w:t>https://mcp.opencaselaw.ch/entscheid/vd_findinfo_Jug___2023___461</w:t>
      </w:r>
    </w:p>
    <w:p>
      <w:r>
        <w:t>FR: VD_FINDINFO Jug / 2023 / 461 du 13 juin 2023</w:t>
      </w:r>
    </w:p>
    <w:p>
      <w:r>
        <w:t>IT: VD_FINDINFO Jug / 2023 / 461 del 13 giugno 2023</w:t>
      </w:r>
    </w:p>
    <w:p>
      <w:pPr>
        <w:pStyle w:val="Heading2"/>
      </w:pPr>
      <w:r>
        <w:t>Regeste</w:t>
      </w:r>
    </w:p>
    <w:p>
      <w:r>
        <w:t>INDEMNITÉ{EN GÉNÉRAL}, TORT MORAL, PROCÉDURE ÉCRITE, AVOCAT | 429 al. 1 let. a CPP (CH), 429 al. 1 let. c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une indemnité pour des frais de défense et une indemnité à titre de réparation du tort moral subi, la procédure écrite est applicable d’office (art. 406 al. 1 let. d CPP).</w:t>
      </w:r>
    </w:p>
    <w:p>
      <w:r>
        <w:rPr>
          <w:b/>
        </w:rPr>
        <w:t>E. 2.1</w:t>
      </w:r>
    </w:p>
    <w:p>
      <w:r>
        <w:t>Concernant l’indemnité pour ses frais de défense, l’appelant soutient que c’est à tort que le Tribunal des mineurs a appliqué le tarif horaire le plus bas de l’échelle, soit 250 fr., et retranché 10h30 de la liste d’opérations de son avocat, sans motivation pour l’essentiel.</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selon l'art. 429 al. 1 let. a CPP concerne les dépenses du prévenu pour un avocat de choix (ATF 139 IV 241 consid. 1 ; ATF 138 IV 205 consid. 1). Elle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 L'indemnité visée à l’art. 429 al. 1 let. a CPP doit correspondre au tarif usuel du barreau applicable dans le canton où la procédure se déroule (ATF 142 IV 163 consid. 3.1.2 ; TF 6B_757/2020 du 4 novembre 2020 consid. 4.1 ; TF 6B_331/2019 du 6 mai 2019 consid. 3.1). Selon l'art. 26a TFIP (tarif des frais de procédure et indemnités en matière pénale du 28 septembre 2010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Selon la jurisprudence constante, pour une affaire de difficulté moyenne, l'indemnisation est fixée au tarif horaire de 300 fr. (CAPE 25 avril 2022/171 ; CAPE 12 décembre 2019/428 ; CAPE 21 novembre 2018/384).</w:t>
      </w:r>
    </w:p>
    <w:p>
      <w:r>
        <w:rPr>
          <w:b/>
        </w:rPr>
        <w:t>E. 2.3</w:t>
      </w:r>
    </w:p>
    <w:p>
      <w:r>
        <w:t>En l’espèce, Me Fabien Mingard a produit une première liste d’opérations le 5 décembre 2022 (P. 53/0), indiquant 46h55 d’activité pour les opérations effectuées du 24 septembre 2021 au 5 décembre 2022 et quatre vacations, correspondant au montant de 17'889 fr. 50, débours et TVA compris. Au cours de l’audience du 13 juin 2023, il a produit une deuxième liste d’opérations (P. 65), indiquant 7h35 d’activité pour les opérations effectuées du 1 er mars 2023 au 12 juin 2023, hors audience, correspondant au montant de 2'861 fr. 85, débours et TVA compris. En ajoutant le temps de l’audience du 23 juin 2023 et la vacation, Me Mingard a sollicité une indemnité totale de 22'500 francs. Le Tribunal des mineurs a retenu que le nombre d’heures annoncées – soit 60h30 incluant six heures pour l’audience du 23 juin 2023 – paraissait excessif et difficile à départager dans le sens où les vacations étaient comptabilisées avec d’autres activités telles que « entretien avec le client et l’assister à l’audition de la plaignante devant le Président du Tribunal ; déplacement et vacation ; lettres au Tribunal (réquisition) et à l’avocate adverse » (cf. opérations du 11 janvier 2022). Le Tribunal a ainsi retenu 120 fr. pour chaque vacation et estimé que ce montant couvrait « les temps ainsi que les frais de vacation allégués ». Il a également retranché les 1h30 comptabilisées pour « le déplacement au Tribunal des mineurs et les photocopies du doss ier » (cf. opérations du 8 octobre 2021) qu’il considérait comme du travail de secrétariat. Finalement, le Tribunal a retenu 50h d’activité nécessaire. L’appelant n’a pas tout tort. Le tarif le plus bas doit, comme il le soutient, rester réservé aux affaires les plus simples. Or les chefs d’accusation dirigées contre l’appelant – soit tentative de contrainte sexuelle, viol et actes d’ordre sexuel sur une personne incapable de discernement ou de résistance – n’étaient pas légers. En outre, l’affaire présentait des difficultés certaines sur le plan de l’établissement des faits. Enfin, l’aspect lié à la responsabilité du plaideur doit également être pris en compte au vu des enjeux évidemment très importants pour son client. En revanche, l’affaire ne présentait guère de difficultés sous l’angle du droit pur. En définitive, l’affaire doit être considérée comme une affaire de difficulté moyenne, justifiant l’application d’un tarif horaire de 300 fr., conforme à la pratique vaudoise. S’agissant du nombre d’heures consacrées au mandat, il est vrai que la motivation du Tribunal des mineurs ne justifie pas le retranchement de 10h30 opéré. L’appelant admet une déduction de 3h15, correspondant à 1h45 pour les opérations du 11 janvier 2022 (5h45 moins 4h consacrées à l’audience), et de 1h30 pour les opérations du 8 octobre 2021. Il faut donc retenir 57h15 au tarif horaire de 300 fr. (60h30 – 3h15), soit 17'175 fr., montant auquel il faut ajouter 5 % pour les débours forfaitaires (art. 3bis al. 1 RAJ [règlement sur l'assistance judiciaire en matière civile du 7 décembre 2010 ; BLV 211.02.3] par renvoi de l’art. 26a al. 6 TFIP), soit 858 fr. 75, cinq vacations à 120 fr. et 7,7 % de TVA sur le tout, soit 1'434 fr. 80, ce qui correspond à une indemnité totale de 20'068 fr. 55.</w:t>
      </w:r>
    </w:p>
    <w:p>
      <w:r>
        <w:rPr>
          <w:b/>
        </w:rPr>
        <w:t>E. 3.1</w:t>
      </w:r>
    </w:p>
    <w:p>
      <w:r>
        <w:t>L’appelant sollicite une indemnité de 5'200 fr. à titre de réparation pour le tort moral subi. Il soutient qu’il est la réelle victime dans cette affaire puisqu’il a été accusé, à tort et durant environ deux ans, de plusieurs crimes à l’intégrité sexuelle, que l’origine de la procédure ne se trouve pas dans la violation des règles du [...] prohibant les relations sexuelles entre camarades au sein de l’établissement, puisque la relation du 10 avril 2021 était consentie, mais dans le fait que Z.________ a déposé une plainte pénale infondée contre lui, et que les mesures prises par [...] dès la connaissance de la plainte ont eu pour conséquence de l’isoler et de porter une grave atteinte à sa réputation.</w:t>
      </w:r>
    </w:p>
    <w:p>
      <w:r>
        <w:rPr>
          <w:b/>
        </w:rPr>
        <w:t>E. 3.2</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L'indemnité pour tort moral (art. 49 CO) suppose que l'atteinte à la personnalité revête une certaine gravité, objective et subjective (ATF 129 III 715 consid. 4.4 ; ATF 120 II 97 consid. 2 ; TF 4A_123/2020 du 30 juillet 2020 consid. 6).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(ibidem).</w:t>
      </w:r>
    </w:p>
    <w:p>
      <w:r>
        <w:rPr>
          <w:b/>
        </w:rPr>
        <w:t>E. 3.3</w:t>
      </w:r>
    </w:p>
    <w:p>
      <w:r>
        <w:t>Les premiers juges ont accordé 200 fr. pour la détention de trois heures et 800 fr. pour l’opprobre et les désagréments causés par la mise en cause, soit une souffrance et une anxiété occasionnées par la procédure pénale. En revanche, ils ont refusé de tenir compte du fait que l’appelant n’avait pas pu entamer des études universitaires en ingénierie spatiale aux Etats-Unis, car cela était le résultat de ses notes insuffisantes et non celui de la procédure en cours uniquement. Il est vrai que l’atteinte à la réputation et l’angoisse subie ne peuvent être ignorées, surtout en ce qui concerne un jeune homme de 18 ans qui doit se débattre avec une procédure grave dans un Etat étranger. Ensuite, comme le souligne l’appelant, son prétendu manque d’empathie envers la plaignante n’est pas un facteur de réduction de l’indemnité. Il n’en demeure pas moins qu’on ne sait pas grand-chose des séquelles que l’appelant a tirés de la procédure. Si l’indemnité allouée est certes basse, le montant de 5'000 fr. requis ne se justifie pas non plus. Par conséquent, il sera alloué à l’appelant une indemnité de 2'000 fr., plus 200 fr. pour la détention de trois heures subie, soit au total un montant de 2'200 fr., à la charge de l’Etat.</w:t>
      </w:r>
    </w:p>
    <w:p>
      <w:r>
        <w:rPr>
          <w:b/>
        </w:rPr>
        <w:t>E. 4</w:t>
      </w:r>
    </w:p>
    <w:p>
      <w:r>
        <w:t>En définitive, l’appel de X.________ doit être partiellement admis et le jugement entrepris modifié dans le sens des considérants qui précèdent. Les frais d’appel, par 990 fr. (art. 21 al. 1 TFIP), seront laissés à la charge de l’Etat (art. 423 CPP). X.________ a droit à une indemnité pour les dépenses occasionnées par l’exercice raisonnable de ses droits pour la procédure d’appel. La liste d’opérations produite par Me Fabien Mingard, indiquant 5h50 d’activité, est admise. Au tarif horaire de 300 fr., le défraiement s’élève à 1'750 fr., auquel il faut ajouter 2 % pour les débours (art. 19 al. 2 TDC par renvoi de l’art. 26a al. 6 TFIP), soit 35 fr., et 7,7 % de TVA sur le tout, soit 137 fr. 45, de sorte que l’indemnité s’élève au total à 1'922 fr. 45. Cette indemnité sera laissée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