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46 vom 18. Mai 2022</w:t>
      </w:r>
    </w:p>
    <w:p>
      <w:r>
        <w:t>VD Tribunal cantonal, 2022-05-18, FR</w:t>
      </w:r>
    </w:p>
    <w:p>
      <w:r>
        <w:rPr>
          <w:b/>
        </w:rPr>
        <w:t xml:space="preserve">Quelle: </w:t>
      </w:r>
      <w:r>
        <w:t>https://mcp.opencaselaw.ch/entscheid/vd_findinfo_Jug___2023___46</w:t>
      </w:r>
    </w:p>
    <w:p>
      <w:r>
        <w:t>FR: VD_FINDINFO Jug / 2023 / 46 du 18 mai 2022</w:t>
      </w:r>
    </w:p>
    <w:p>
      <w:r>
        <w:t>IT: VD_FINDINFO Jug / 2023 / 46 del 18 maggio 2022</w:t>
      </w:r>
    </w:p>
    <w:p>
      <w:pPr>
        <w:pStyle w:val="Heading2"/>
      </w:pPr>
      <w:r>
        <w:t>Regeste</w:t>
      </w:r>
    </w:p>
    <w:p>
      <w:r>
        <w:t>CONSTATATION DES FAITS, FIXATION DE LA PEINE, FIXATION DE L'AMENDE, VOIES DE FAIT, MENACE{DROIT PÉNAL}, INJURE, CONJOINT | 126 al. 2 let. b CP, 177 CP, 180 al. 2 let. a CP, 292 CP, 47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2.2</w:t>
      </w:r>
    </w:p>
    <w:p>
      <w:r>
        <w:t>La condamnation de l’appelant pour voies de fait qualifiées au sens de l’art. 126 al. 1 et 2 let. b CP et pour menaces qualifiées au sens de l’art. 180 al. 1 et 2 let. a CP, qualifications qui ne sont pas contestées en elles-mêmes, doit donc être confirmée. Cela étant, s’agissant du cas décrit sous le chiffre 2.1 (voies de fait qualifiées), le prévenu doit être libéré pour la période antérieure au 18 mai 2019, en raison de l’acquisition de la prescription pénale au jour du jugement de première instance, soit le 18 mai 2022 (art. 109 CP).</w:t>
      </w:r>
    </w:p>
    <w:p>
      <w:r>
        <w:rPr>
          <w:b/>
        </w:rPr>
        <w:t>E. 3.1</w:t>
      </w:r>
    </w:p>
    <w:p>
      <w:r>
        <w:t>L’appelant conteste sa condamnation pour voies de fait qualifiées, injure, menaces qualifiées et contrainte s’agissant des faits relatés ci-dessus, dans la partie « En fait », sous chiffres 2.1, 2.2 et 2.3.</w:t>
      </w:r>
    </w:p>
    <w:p>
      <w:r>
        <w:rPr>
          <w:b/>
        </w:rPr>
        <w:t>E. 3.2.1</w:t>
      </w:r>
    </w:p>
    <w:p>
      <w:r>
        <w:t>ci-dessus.</w:t>
      </w:r>
    </w:p>
    <w:p>
      <w:r>
        <w:rPr>
          <w:b/>
        </w:rPr>
        <w:t>E. 3.2.2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ATF 107 IV 12 consid. 3 p. 15; 102 IV 65 consid. 2a p. 68).</w:t>
      </w:r>
    </w:p>
    <w:p>
      <w:r>
        <w:rPr>
          <w:b/>
        </w:rPr>
        <w:t>E. 3.3</w:t>
      </w:r>
    </w:p>
    <w:p>
      <w:r>
        <w:t>L’appelant soutient que la plaignante n’aurait donné aucune précision, ni expliqué les violences subies s’agissant des faits décrits sous les chiffres 2.1 et 2.2. S’agissant des gifles reçues entre les mois de février 2018 et février 2021 et des menaces proférées à son encontre dès la séparation du couple (cas 2.1 et 2.2), l’intimée a fait des déclarations précises et on ne voit pas ce qu’elle aurait pu dire de plus. Ainsi, dans le cadre de l’intervention policière du 15 février 2021 (cf. P. 4), l’intimée a expliqué que son mari s’était déjà montré violent physiquement envers elle avant et après la séparation, qu’il l’avait notamment frappée sur le visage et les oreilles à plusieurs reprises, qu’il la frappait avec les mains ouvertes et qu’il l’avait menacée de mort depuis la séparation. Lors de son audition du 24 février 2021, elle a mentionné des violences commises au Liban et en Syrie, celles-ci n’étant toutefois pas poursuivies en Suisse et ne faisant donc pas l’objet de l’acte d’accusation ; elle a également expliqué que, depuis qu’ils étaient en Suisse, elle recevait une gifle ou une claque tous les six mois (cf. PV aud. 2). On peut en outre relever que la plaignante a été claire et constante dans les faits exposés, lesquels sont suffisamment détaillés. En outre, les violences conjugales sont étayées par le rapport médical établi le 18 novembre 2022, lequel atteste d’un épisode dépressif moyen (F32.1), d’un état de stress post-traumatique (F43.1) et de difficultés dans les rapports avec le conjoint ou le partenaire (Z63.0), consécutifs, aux dires de la plaignante, à des violences domestiques subies de la part de l’appelant. Pour le reste, l’appréciation du premier juge peut être suivie s’agissant des indices suivants qui étayent la version des faits de la plaignante : aux débats de première instance, la plaignante a évoqué un climat de violences physiques et psychiques de longue date entre elle et son époux et son impossibilité à révéler quoi que ce soit à quiconque pour des motifs culturels ; lors de son audition du 15 février 2021 par la gendarmerie, la plaignante a expliqué qu’elle avait été un peu forcée à se marier avec le prévenu, alors que dès le début de leur relation, elle l’avait toujours trouvé difficile et souhaitait se séparer de lui ; elle a précisé que jusqu’à ce qu’elle se marie avec lui, elle avait subi des violences physiques de la part de sa famille ; elle a par ailleurs relaté qu’à une reprise, alors que le couple se trouvait au Liban, le prévenu lui avait brûlé le visage avec une cuillère chauffée sur du charbon ; lors de son audition du 15 février 2021, le prévenu a admis un épisode de violence envers sa femme, en Syrie ; toutefois, devant le Ministère public de l’arrondissement de la Côte, il a contesté toute violence à son égard, ainsi que la brûlure au visage au Liban ; selon lui, son épouse invente des histoires ; il ressort de l’instruction que le prévenu et la plaignante rencontrent des soucis de couple depuis un certain temps déjà ; selon le prévenu, c’était alors qu’ils se trouvaient encore en Syrie ; pour sa part, la plaignante a parlé dans ses différentes auditions d’un époux souvent fâché et énervé à son égard, criant et tapant, évoquant « quelqu’un de très difficile avec moi » ; aux débats de première instance, elle a évoqué sa peur chaque fois qu’elle sait qu’elle va le rencontrer ; le prévenu a quant à lui contesté tout conflit conjugal ; selon lui, il n’y a jamais eu la moindre dispute, même pas une seule fois, et il n’a jamais touché sa femme ; il prétend au contraire que c’est son épouse qui dit des mensonges et il soutient que c’est elle qui l’a giflé, injurié et menacé ; alors que la séparation officielle du couple est intervenue le février 2020, les faits principaux dénoncés par la plaignante se sont déroulés plusieurs mois plus tard, d’abord le 14 février 2021, puis le 25 juillet 2021. Ces faits, en particulier ceux du 25 juillet 2021, se sont produits malgré le dépôt de plainte pénale, la demande de protection civile par la plaignante et l’ordonnance de mesures superprovisionnelles ordonnant au prévenu une interdiction de contact et de périmètre à son égard ; de plus, en avril 2021, la procédure pénale a été suspendue au sens de l’art. 55a CP pour une durée de six mois, soit jusqu’au 29 octobre 2021 ; or, en raison des évènements du 25 juillet 2021, le Ministère public a décidé, le 30 juillet 2021, de reprendre la procédure ; il convient également de relever que, lors de son audition du 29 juillet 2021, la plaignante a dit souhaiter que la garde des enfants soit transférée au prévenu, et ce dans le but de ne plus avoir le moindre contact avec lui ; enfin, l’appelant n’a pas hésité, en date du 14 février 2021, à contacter téléphoniquement le frère de la plaignante au Liban pour lui dire que celle-ci avait un copain ; or un tel appel à la famille constitue une véritable menace pour la plaignante. Au vu de ce qui précède, comme le premier juge, on peine à comprendre que la plaignante ait entrepris autant de démarches, notamment judiciaires, si rien ne s’était jamais passé. On peine également à croire que la plaignante ait tout inventé. Au contraire, la cour de céans partage la conviction du premier juge selon lesquels les faits se sont déroulés tels que décrits dans l’acte d’accusation. Au regard de l’ensemble de ces éléments, on ne discerne aucune violation de la présomption d’innocence et on doit tenir pour établis les faits décrits sous les chiffres 2.1 et</w:t>
      </w:r>
    </w:p>
    <w:p>
      <w:r>
        <w:rPr>
          <w:b/>
        </w:rPr>
        <w:t>E. 3.4.1</w:t>
      </w:r>
    </w:p>
    <w:p>
      <w:r>
        <w:t>L’appelant soutient que l’intimée s’est contredite s’agissant des faits figurant au chiffre 2.3, pour lesquels il invoque l’art. 15 CP, expliquant qu’il a juste tenté de faire sortir son épouse de son appartement. S’agissant des faits qui se sont déroulés le 14 février 2021 (cas 2.3), la version de l’intimée ne varie que sur des détails, mais pas sur les gestes de l’appelant sur sa personne. De plus, c’est elle qui a appelé la police, ce qu’elle n’aurait évidemment pas fait si on devait suivre la version de l’appelant, selon laquelle il se serait contenté de la repousser en dehors de son appartement. Partant, on doit admettre la version de l’appelante. Enfin, on doit souligner les violences générales de l’appelant telles que décrites ci-dessus aux chiffres 2.1 et 2.2. Au regard de l’ensemble de ces éléments, les faits décrits sous le chiffre 2.3 doivent être retenus. La version de l’appelant doit être écartée, ce qui exclut la légitime défense invoquée par l’intéressé.</w:t>
      </w:r>
    </w:p>
    <w:p>
      <w:r>
        <w:rPr>
          <w:b/>
        </w:rPr>
        <w:t>E. 3.4.2</w:t>
      </w:r>
    </w:p>
    <w:p>
      <w:r>
        <w:t>Ainsi, en poussant son épouse et en lui disant de dégager, puis en la saisissant au cou avec ses deux mains et en exerçant une pression à cet endroit, tout en la plaquant contre un mur, ainsi qu’en en la traitant de « sale femme », l’appelant s’est rendu coupable de voies de fait qualifiées au sens de l’art. 126 al. 1 et 2 let. b CP et d’injure au sens de l’art. 177 CP. Ces faits ne sont en revanche pas constitutifs de contrainte au sens de l’art. 181 CP, contrairement à ce qu’a retenu le premier juge. En effet, l’infraction de voies de fait qualifiées absorbe en l’occurrence l’infraction de contrainte, dont il convient dès lors de libérer l’appelant.</w:t>
      </w:r>
    </w:p>
    <w:p>
      <w:r>
        <w:rPr>
          <w:b/>
        </w:rPr>
        <w:t>E. 4.1</w:t>
      </w:r>
    </w:p>
    <w:p>
      <w:r>
        <w:t>L’appelant conteste sa condamnation pour insoumission à une décision de l’autorité (faits relatés ci-dessus, dans la partie « En fait », sous chiffre 2.4), au motif que l’ordonnance de mesures superprovisionnelles du 25 février 2021 lui était inconnue, qu’il n’était pas représenté, qu’il ne savait ni lire, ni parler le français et qu’il avait agi sous la pression de la plaignante, qui voulait se décharger des enfants, et sous l’influence d’une appréciation erronée de la situation.</w:t>
      </w:r>
    </w:p>
    <w:p>
      <w:r>
        <w:rPr>
          <w:b/>
        </w:rPr>
        <w:t>E. 4.2.1</w:t>
      </w:r>
    </w:p>
    <w:p>
      <w:r>
        <w:t>Aux termes de l'art. 292 CP, celui qui ne se sera pas conformé à une décision à lui signifiée, sous la menace de la peine prévue audit article, par une autorité ou un fonctionnaire compétents sera puni d'une amende. L’auteur doit agir intentionnellement, soit avoir connaissance de l’injonction, de sa validité et des conséquences pénales de son insoumission, le dol éventuel étant suffisant (ATF 119 IV 238 consid. 2a).</w:t>
      </w:r>
    </w:p>
    <w:p>
      <w:r>
        <w:rPr>
          <w:b/>
        </w:rPr>
        <w:t>E. 4.2.2</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(ATF 129 IV 238 consid. 3.1 p. 240 ; plus récemment : TF 6B_1445/2019 du 17 avril 2020 consid. 3.1; TF 6B_943/2019 du 7 février 2020 consid. 4.1). L'auteur ne se trouve pas dans une erreur sur les faits lorsqu'il est conscient, au moment d'agir, d'ignorer des éléments factuels ou juridiques qui lui seraient importants pour apprécier la portée de son propre comportement (ATF 135 IV 12 consid. 2.3.1 p. 16 ; TF 6B_550/2021 du 19 janvier 2022 consid. 3.4.1 ; TF 6B_1072/2020 du 26 mai 2021 consid. 3.1).</w:t>
      </w:r>
    </w:p>
    <w:p>
      <w:r>
        <w:rPr>
          <w:b/>
        </w:rPr>
        <w:t>E. 4.3</w:t>
      </w:r>
    </w:p>
    <w:p>
      <w:r>
        <w:t>On doit admettre que les parties n’ont pas réellement compris l’ordonnance de mesures superprovisionnelles du 25 février 2021. L’appelant n’était pas assisté dans le cadre de cette procédure civile. De plus, il ne parle, ni ne comprend le français. L’ordonnance lui a été expliquée par son épouse, qui elle était assistée, mais qui n’a pas non plus compris la teneur de cette décision, ce qui résulte de ses déclarations du 29 juillet 2021, selon lesquelles l’appelant n’avait plus vu ses enfants pendant environ deux mois, jusqu’à ce que sa demande à pouvoir revoir les enfants soit acceptée (cf. P. 12), étant précisé qu’aucune décision judiciaire n’a autorisé la reprise du droit de visite avant le 11 novembre 2021. Par ailleurs, on doit admettre que l’intimée n’a elle-même pas toujours été claire s’agissant de la garde des enfants, demandant notamment à l’appelant de s’occuper de ces derniers durant la semaine et vouloir échanger les rôles (cf. PV aud. 2, p. 3 ; P. 27). Au regard de ces éléments, on doit admettre qu’il y a un doute sur la réalisation de l’aspect subjectif de l’infraction visée par l’art. 292 CP. L’appelant doit par conséquent être libéré de ce chef d’accusation, étant précisé qu’il s’agit d’une contravention.</w:t>
      </w:r>
    </w:p>
    <w:p>
      <w:r>
        <w:rPr>
          <w:b/>
        </w:rPr>
        <w:t>E. 5.1</w:t>
      </w:r>
    </w:p>
    <w:p>
      <w:r>
        <w:t>En lien avec les faits relatés ci-dessus, dans la partie « En fait », sous chiffre 2.5, l’appelant conteste sa condamnation pour injure et voies de fait qualifiées.</w:t>
      </w:r>
    </w:p>
    <w:p>
      <w:r>
        <w:rPr>
          <w:b/>
        </w:rPr>
        <w:t>E. 5.2</w:t>
      </w:r>
    </w:p>
    <w:p>
      <w:r>
        <w:t>Quant aux principes découlant de la présomption d’innocence, il est renvoyé au considérant</w:t>
      </w:r>
    </w:p>
    <w:p>
      <w:r>
        <w:rPr>
          <w:b/>
        </w:rPr>
        <w:t>E. 5.3</w:t>
      </w:r>
    </w:p>
    <w:p>
      <w:r>
        <w:t>L’intéressé explique qu’il était en train de manœuvrer son véhicule lorsque l’incident a eu lieu, que l’intimée a délibérément ouvert la portière, alors qu’il était en train de manœuvrer, comportement auquel il ne pouvait s’attendre, et qu’il y a par conséquent une rupture du lien de causalité entre ses actes et l’atteinte subie par l’intimée. Lors de l’intervention de police, il a expliqué que l’intimée avait ouvert la porte de la voiture, alors qu’il manœuvrait, qu’apeuré, il avait effectué une accélération, ce qui avait provoqué la chute de la plaignante et que ce n’était que quelques minutes plus tard, lorsqu’elle l’avait appelé, qu’il avait appris qu’elle s’était blessée. La version des faits de l’appelant n’est pas crédible et doit être écartée pour les raisons suivantes. D’une part, on ne comprend pas pour quel motif il aurait dû avoir peur de son épouse, laquelle était accompagnée des enfants du couple, et pour quel motif il aurait alors accéléré, étant relevé qu’il arrivait chez lui et n’avait pas de raison de repartir. D’autre part, on ne voit pas non plus pourquoi l’intimée aurait agi de la sorte, en prenant le risque de se blesser, alors qu’elle devait également assurer la sécurité de ses enfants. Par ailleurs, si les faits s’étaient déroulés selon la version de l’appelant, celui-ci se serait immédiatement arrêté pour prêter secours à son épouse, dont la main était restée coincée sur la poignée et qui avait ensuite chuté sur la chaussée. On sait également que l’épouse a crié, conformément aux déclarations d’un témoin (cf. P. 12). Enfin, on doit relever que c’est [...], soit la fille du couple, qui a appelé la police, sur conseil de la secrétaire de l’avocat de sa mère. Il est évident que l’intimée n’aurait pas demandé à sa fille de contacter son avocat, puis la police, si elle n’avait rien eu à reprocher à son mari. Au regard de l’ensemble de ces éléments, on doit préférer la version de l’intimée à celle de l’appelant. La condamnation de ce dernier pour voies de fait qualifiées au sens de l’art. 126 al. 1 et 2 let. b CP, qualification qui n’est pas contestée en elle-même, doit donc être confirmée.</w:t>
      </w:r>
    </w:p>
    <w:p>
      <w:r>
        <w:rPr>
          <w:b/>
        </w:rPr>
        <w:t>E. 5.4</w:t>
      </w:r>
    </w:p>
    <w:p>
      <w:r>
        <w:t>S’agissant des insultes, l’appelant conteste avoir traité l’intimée de « pute » et de « fille de chienne » et relève qu’elles ne sont attestées par aucun élément du dossier. L’infraction d’injure au sens de l’art. 177 CP doit être retenue, la version de la plaignante étant plus crédible que celle de l’appelant, pour les motifs déjà expliqués ci-dessus.</w:t>
      </w:r>
    </w:p>
    <w:p>
      <w:r>
        <w:rPr>
          <w:b/>
        </w:rPr>
        <w:t>E. 6.1</w:t>
      </w:r>
    </w:p>
    <w:p>
      <w:r>
        <w:t>Invoquant une violation des art. 47 et 49 CP, l’appelant conteste la peine qui lui a été infligée.</w:t>
      </w:r>
    </w:p>
    <w:p>
      <w:r>
        <w:rPr>
          <w:b/>
        </w:rPr>
        <w:t>E. 6.2.1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6.2.2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6.2.4</w:t>
      </w:r>
    </w:p>
    <w:p>
      <w:r>
        <w:t>En vertu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6.3</w:t>
      </w:r>
    </w:p>
    <w:p>
      <w:r>
        <w:t>L’appelant s’est rendu coupable de voies de fait qualifiées, injure, menaces qualifiées, violation simple des règles de la circulation routière, conduite d’un véhicule automobile sans autorisation et violation des devoirs en cas d’accident. Sa culpabilité ne saurait être qualifiée de légère. Il s’en est pris, à réitérées reprises, à son épouse, parfois même devant leurs enfants. Les différentes auditions de police évoquent même une participation active de la fille du couple dans les différents évènements qui se sont produits, notamment pour séparer ses parents. Quant aux faits qui se sont déroulés le 25 juillet 2021, ils sont graves, dès lors que l’appelant a accéléré avec son véhicule, alors que la plaignante était restée coincée dans la portière. Par ailleurs, encore en appel, T.________ rejette toute la faute sur son épouse et se positionne en victime, démontrant son absence totale de remise en question. A charge, il y a également lieu de tenir compte du concours d’infractions. A décharge, il convient de retenir le parcours de vie du prévenu et le fait qu’il a réussi à se réinsérer dans son domaine de formation, puisqu’il est au bénéfice d’un contrat de durée indéterminée pour un travail de peintre à plein temps. Il ne bénéficie pratiquement plus d’aide financière de l’Etat et s’assume presque seul, même s’il ne contribue pas à l’entretien de ses enfants et de son épouse. Enfin, l’absence d’antécédent est un élément neutre. Une peine pécuniaire apparaît suffisante pour sanctionner les infractions retenues contre l’appelant et déployer l’effet préventif escompté, sous réserve des infractions de voies de fait qualifiées, violation simple des règles de la circulation routière et violation des devoirs en cas d’accident, contraventions devant être sanctionnées par une amende. Les infractions les plus graves, soit de gravité égale, sont les infractions d’injure et de menaces qualifiées, qui doivent être sanctionnées de 120 jours-amende (soit 60 jours-amende chacune), peine augmentée, par les effets du concours, de 30 jours-amende pour l’infraction de conduite d’un véhicule automobile sans autorisation. Compte tenu de ce qui précède, c’est une peine pécuniaire de 150 jours-amende qui doit être infligée à l’appelant. La valeur du jour-amende fixée à 30 fr. ne prête pas le flanc à la critique, compte tenu de la situation personnelle et économique de l’appelant. La peine pécuniaire prononcée peut être assortie du sursis, le délai d’épreuve étant fixé à deux ans. A cette peine pécuniaire, s’ajoutent encore des amendes pour sanctionner les infractions de voies de fait qualifiées, violation simple des règles de la circulation routière et violation des devoirs en cas d’accident. Au vu de la prescription acquise, il subsiste cinq épisodes de violence ayant eu lieu entre le 18 mai 2019 et le 14 février 2021 (cas 2.1), de gravité égale, qui doivent être réprimés par une amende d’une quotité de 500 fr., soit 100 fr. pour chaque épisode, peine augmentée, par les effets du concours, de 50 fr. pour l’infraction de violation simple des règles de la circulation routière et de 50 fr. pour l’infraction de violation des devoirs en cas d’accident. C’est donc une amende d’une quotité totale de 600 fr. qui doit être infligée à l’appelant. La peine privative de liberté de substitution en cas de non-paiement fautif de l’amende sera arrêtée à six jours (art. 106 al. 3 CP).</w:t>
      </w:r>
    </w:p>
    <w:p>
      <w:r>
        <w:rPr>
          <w:b/>
        </w:rPr>
        <w:t>E. 7.1</w:t>
      </w:r>
    </w:p>
    <w:p>
      <w:r>
        <w:t>L’appelant conteste l’allocation à la partie plaignante d’une indemnité pour tort moral.</w:t>
      </w:r>
    </w:p>
    <w:p>
      <w:r>
        <w:rPr>
          <w:b/>
        </w:rPr>
        <w:t>E. 7.2</w:t>
      </w:r>
    </w:p>
    <w:p>
      <w:r>
        <w:t>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7.3</w:t>
      </w:r>
    </w:p>
    <w:p>
      <w:r>
        <w:t>En l’espèce, vu les atteintes subies par la plaignante et surtout les conséquences sur l’intégrité psychique de cette dernière, objectivées dans le rapport médical établi le 16 novembre 2022, il se justifie sur le principe de lui accorder une indemnité pour tort moral. Quant à la quotité de cette indemnité, compte tenu des souffrances de la plaignante et de leur persistance, le montant de 1’000 fr. alloué par le premier juge est justifié et adéquat.</w:t>
      </w:r>
    </w:p>
    <w:p>
      <w:r>
        <w:rPr>
          <w:b/>
        </w:rPr>
        <w:t>E. 8</w:t>
      </w:r>
    </w:p>
    <w:p>
      <w:r>
        <w:t>Compte tenu de la confirmation de sa condamnation, il n’y a pas matière à revoir la mise à la charge du prévenu des frais judiciaires de première instance (art. 426 al. 1 CPP).</w:t>
      </w:r>
    </w:p>
    <w:p>
      <w:r>
        <w:rPr>
          <w:b/>
        </w:rPr>
        <w:t>E. 9</w:t>
      </w:r>
    </w:p>
    <w:p>
      <w:r>
        <w:t>En définitive, l’appel doit être partiellement admis et le jugement attaqué réformé dans le sens des considérants qui précèdent. Selon la liste d’opérations produite par Me Numa-Nils Ruokanen, avocat-stagiaire en l’étude de Me Jean-Marc Courvoisier, défenseur d’office de T.________, dont il n’y a pas lieu de s’écarter, si ce n’est pour tenir compte de la durée de l'audience (1h30 devant être rajoutée), une indemnité pour la procédure d’appel d’un montant de 2'749 fr. 25, correspondant à 20 heures 44 d’activité d’avocat-stagiaire au tarif horaire de 110 fr., plus 35 minutes d’activité d’avocat breveté au tarif horaire de 180 fr., plus une vacation à 120 fr., plus 47 fr. 70 de débours (2% des honoraires), plus 196 fr. 55 de TVA, sera allouée à Me Jean-Marc Courvoisier. Selon la liste d’opérations produite par Me Julien Le Bian, en remplacement de Me Zakia Arnouni, conseil d’office de X.________, dont il n’y a pas lieu de s’écarter, sous réserve de la durée de l’audience, qui a été surestimée, une indemnité pour la procédure d’appel d’un montant de 1'641 fr. 95, correspondant à 7 heures 39 d’activité d’avocat breveté, plus une vacation à 120 fr., plus 27 fr. 55 de débours (2% des honoraires), plus 117 fr. 40 de TVA, sera allouée à Me Zakia Arnouni. Vu l’issue de la cause, les frais de la procédure d’appel, par 7'401 fr. 20, constitués de l’émolument de jugement, par 3'010 fr. (art. 21 al. 1 et 2 TFIP [Tarif des frais de procédure et indemnités en matière pénale du 28 septembre 2010 ; BLV 312.03.1]), ainsi que de l’indemnité allouée au conseil d’office de X.________, par 1'641 fr. 95, et de l’indemnité allouée à son défenseur d’office, par 2'749 fr. 25, seront mis par deux tiers à la charge de T.________, qui succombe partiellement (art. 428 al. 1 CPP), le solde étant laissé à la charge de l’Etat. L’appelant ne sera toutefois tenu de rembourser à l’Etat les deux tiers des indemnités en faveur des défenseur et conseil d’office que lorsque sa situation financière le permettra (art. 135 al. 4 let. a CPP). La Cour d’appel pénale, appliquant les art. 34, 42 al. 1, 44 al. 1, 47, 50, 103, 106, 126 al. 1 et 2 let. b, 177, 180 al. 1 et 2 let. a CP ; 90 al. 1, 92 al. 1, 95 al. 1 let. d LCR; 398 ss CPP, prononce : I. L’appel est partiellement admis. II. Le jugement rendu le 18 mai 2022 par le Tribunal de police de l’arrondissement de La Broye et du Nord vaudois est modifié comme il suit aux chiffres I et IV de son dispositif et par l’ajout d’un chiffre Ibis nouveau, le dispositif du jugement étant désormais le suivant : " I. libère T.________ des chefs de prévention de contrainte et d’insoumission à une décision de l’autorité ; Ibis. constate que T.________ s’est rendu coupable de voies de fait qualifiées, injure, menaces qualifiées, violation simple des règles de la circulation routière, conduite d’un véhicule automobile sans autorisation et violation des devoirs en cas d’accident ; II. condamne T.________ à une peine pécuniaire de 150 (cent cinquante) jours-amende, le montant du jour-amende étant fixé à 30 fr. (trente francs) ; III. suspend l’exécution de la peine pécuniaire fixée sous chiffre II ci-dessus et impartit à T.________ un délai d’épreuve de 2 (deux) ans ; IV. condamne T.________ à une amende de 600 fr. (six cents francs), convertible en 6 jours de peine privative de liberté de substitution en cas de non-paiement fautif ; V. dit que T.________ doit verser à X.________ la somme de 1'000 fr. (mille francs) à titre de réparation morale ; VI. alloue à l’avocat Jean-Marc Courvoisier, défenseur d’office de T.________, une indemnité de 5'475 fr. 10 (cinq mille quatre cent septante-cinq francs et dix centimes), vacations, débours et TVA compris ; VII. alloue à l’avocate Zakia Arnouni, conseil juridique gratuit de X.________, une indemnité de 4'719 fr. 70 (quatre mille sept cent dix-neuf francs et septante centimes), vacations, débours et TVA compris ; VIII. met les frais de la cause, par 17'055 fr. 05 (dix-sept mille cinquante-cinq francs et cinq centimes), y compris les indemnités allouées aux avocats sous chiffres VI et VII ci-dessus, à la charge de T.________, le solde étant laissé à la charge de l’Etat ; IX. dit que les indemnités de défenseur d’office et de conseil juridique gratuit mises à la charge du condamné sont remboursables dès que sa situation financière le permet ; X. rejette la prétention de T.________ tendant à l’allocation d’une indemnité fondée sur l’art. 429 CPP." III. Une indemnité de défenseur d'office pour la procédure d'appel d'un montant de 2'749 fr. 25 , TVA et débours inclus, est allouée à Me Jean-Marc Courvoisier. IV. Une indemnité de conseil d'office pour la procédure d'appel d'un montant de 1'641 fr. 95 , TVA et débours inclus, est allouée à Me Zakia Arnouni. V. Les frais d'appel, par 7'401 fr. 20, y compris les indemnités allouées aux défenseur et conseil d'office, sont mis par deux tiers à la charge de T.________, le solde étant laissé à la charge de l’Etat. VI. T.________ ne sera tenu de rembourser à l’Etat les deux tiers des indemnités en faveur des défenseur et conseil d’office prévues aux ch. III et IV ci-dessus que lorsque sa situation financière le permettra . VII. Le jugement motivé est exécutoire. La présidente :              La greffière : Du Le jugement qui précède, dont le dispositif a été communiqué par écrit aux intéressés le 30 novembre 2022 , est notifié, par l'envoi d'une copie complète, à : - Me Jean-Marc Courvoisier, avocat (pour T.________), - Me Zakia Arnouni, avocate (pour X.________), - Ministère public central, et communiqué à : - Mme la Vice-présidente du Tribunal de police de l'arrondissement de La Broye et du Nord vaudois, - M. le Procureur de l'arrondissement de La Côte, - Service de la population,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