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429 vom 20. März 2023</w:t>
      </w:r>
    </w:p>
    <w:p>
      <w:r>
        <w:t>VD Tribunal cantonal, 2023-03-20, FR</w:t>
      </w:r>
    </w:p>
    <w:p>
      <w:r>
        <w:rPr>
          <w:b/>
        </w:rPr>
        <w:t xml:space="preserve">Quelle: </w:t>
      </w:r>
      <w:r>
        <w:t>https://mcp.opencaselaw.ch/entscheid/vd_findinfo_Jug___2023___429</w:t>
      </w:r>
    </w:p>
    <w:p>
      <w:r>
        <w:t>FR: VD_FINDINFO Jug / 2023 / 429 du 20 mars 2023</w:t>
      </w:r>
    </w:p>
    <w:p>
      <w:r>
        <w:t>IT: VD_FINDINFO Jug / 2023 / 429 del 20 marzo 2023</w:t>
      </w:r>
    </w:p>
    <w:p>
      <w:pPr>
        <w:pStyle w:val="Heading2"/>
      </w:pPr>
      <w:r>
        <w:t>Regeste</w:t>
      </w:r>
    </w:p>
    <w:p>
      <w:r>
        <w:t>VOIES DE FAIT, SÉJOUR ILLÉGAL, FRONTALIER, CONCUBINAGE, INDEMNITÉ{EN GÉNÉRAL}, DÉFENSE D'OFFICE | 126 al. 2 CP, 40 CP, 41 CP, 135 CPP (CH), 115 al. 1 let. b LEI</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R.________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Dans sa déclaration d’appel, l’appelant a demandé, à titre de mesure d’instruction, l’audition de son ex-compagne, G.________ en vue de clarifier la nature de leur relation. Il n’a pas réitéré cette réquisition lors des débats d’appel. Quoi qu’il en soit, celle-ci doit être rejetée, dès lors que l’intéressée a déjà pu livrer sa version des faits lorsqu’elle a été entendue le 14 décembre 2020 par la police, puis le 8 mars 2021 par la procureure, ainsi qu’au travers de courriers et courriels qu’elle a rédigés à l’attention des autorités judiciaires et qui ont été versés au dossier. Une nouvelle audition est ainsi inutile, celle-ci n’étant pas susceptible de modifier les éléments probatoires suffisants figurant déjà au dossier.</w:t>
      </w:r>
    </w:p>
    <w:p>
      <w:r>
        <w:rPr>
          <w:b/>
        </w:rPr>
        <w:t>E. 4</w:t>
      </w:r>
    </w:p>
    <w:p>
      <w:r>
        <w:t>Dans un premier moyen, l’appelant conteste sa condamnation pour séjour illégal. Il fait valoir qu’en tant que ressortissant français au bénéfice d’un permis G pour frontalier, il pouvait prétendre à une autorisation de séjour en Suisse. Il se prévaut à cet égard d’une jurisprudence fédérale découlant de l’Accord entre la Confédération suisse, d’une part, et la Communauté européenne et ses États membres, d’autre part, sur la libre circulation des personnes du 21 juin 1999 (ALCP ; RS 0.142.112.681), selon laquelle le séjour n’est pas illégal si le ressortissant d’un Etat de l’Union européenne ne dispose pas d’un titre de séjour formel, mais remplit les conditions pour l’octroi d’une telle autorisation.</w:t>
      </w:r>
    </w:p>
    <w:p>
      <w:r>
        <w:rPr>
          <w:b/>
        </w:rPr>
        <w:t>E. 4.1.1</w:t>
      </w:r>
    </w:p>
    <w:p>
      <w:r>
        <w:t>Aux termes de l'art. 115 al. 1 let. b LEI de la loi fédérale sur les étrangers et l’intégration (loi fédérale sur les étrangers et l’intégration du 16 décembre 2005 ; RS 142.20), est puni d'une peine privative de liberté d'un an au plus ou d'une peine pécuniaire quiconque séjourne illégalement en Suisse, notamment après l'expiration de la durée du séjour non soumis à autorisation ou du séjour autorisé. Cette disposition consacre un délit continu (ATF 145 IV 449 consid. 1.1). Selon l’art. 35 al. 1 LEI, l’autorisation frontalière est octroyée en vue de l’exercice d’une activité lucrative dans une zone frontalière (art. 25). Le titulaire doit regagner au moins une fois par semaine son lieu de résidence à l’étranger ; l’autorisation frontalière peut être assortie d’autres conditions (al. 2).</w:t>
      </w:r>
    </w:p>
    <w:p>
      <w:r>
        <w:rPr>
          <w:b/>
        </w:rPr>
        <w:t>E. 4.1.2</w:t>
      </w:r>
    </w:p>
    <w:p>
      <w:r>
        <w:t>Depuis l’entrée en vigueur, le 1 er juin 2002, de l’ALCP, les ressortissants des Etats membres de l’UE et de l’AELE ont le droit de séjourner et de se déplacer librement sur l’ensemble du territoire suisse afin d’exercer une activité lucrative. les ressortissants des États membres de l'UE et de l'AELE ont le droit de séjourner et de se déplacer librement sur l'ensemble du territoire suisse afin d'exercer une activité lucrative. Selon l'art. 2 de l'Annexe I de l'Accord sur la libre circulation des personnes, le droit de séjourner sur le territoire d'une partie contractante est constaté par la délivrance d'une autorisation de séjour. De jurisprudence constante, la nature des autorisations UE/AELE auxquelles un ressortissant d'un État de l'Union européenne peut avoir droit en vertu de l'ALCP n'est pas constitutive ; elle est simplement déclarative (ATF 136 II 329 consid. 2.2 ; ATF 134 IV 57 consid. 4, TF 6B_508/2021 du 14 janvier 2022 consid. 3.2 et les arrêts cités). Dès que les conditions pour l'octroi d'une autorisation UE/AELE sont remplies, ce document doit être accordé ; ce dernier ne fonde ainsi en principe pas le droit au séjour, mais ne fait qu'attester de celui-ci (ATF 136 II 405 consid. 4.4 ; ATF 136 II 329 consid. 2 et 3 ; TF 6B_508/2021 précité). Une condamnation pénale ne pourra donc pas être prononcée au seul motif que le ressortissant d'un Etat de l'UE ne dispose pas d'une autorisation de séjour formelle, s'il remplit les conditions selon l'ALCP pour l'octroi d'une telle autorisation (ATF 134 IV 57 consid. 4 ; TF 6B_508/2021 précité). Selon l’art. 2 al. 1 de l’annexe I à l’ALCP, les ressortissants d’une partie contractante ont le droit de séjourner et d’exercer une activité économique sur le territoire de l’autre partie contractante selon les modalités prévues aux chapitres II à IV. Ce droit est constaté par la délivrance d’un titre de séjour ou spécifique pour les frontaliers. Selon l’art. 7 al. 1 de l’annexe I à l’ALCP,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w:t>
      </w:r>
    </w:p>
    <w:p>
      <w:r>
        <w:rPr>
          <w:b/>
        </w:rPr>
        <w:t>E. 4.2</w:t>
      </w:r>
    </w:p>
    <w:p>
      <w:r>
        <w:t>En l’espèce, l’appelant ne conteste pas avoir résidé durablement chez son ex-compagne du mois d’octobre 2018 au mois de décembre 2020 alors qu’il n’était titulaire d’aucune autorisation de séjour, mais seulement d’un permis G pour frontalier. En ne respectant pas les règles spécifiques liées à ce statut (cf. art. 35 LEI et 7 al. 1 de l’annexe I à l’ALCP), soit en résidant en Suisse de manière durable alors qu’il devait regagner au moins une fois par semaine son lieu de résidence en [...], l’appelant a bien enfreint l’art. 115 al. 1 let. b LEI. A cet égard, comme l’a retenu à juste titre le premier juge, l’ALCP n’accorde pas plus de droit à l’appelant que la LEI, étant relevé que l’appelant ne remplissait pas les conditions pour la délivrance d’une autorisation de courte durée, de séjour ou d’établissement (cf. art. 32 ss LEI). Partant, sa condamnation pour séjour illégal doit être confirmée.</w:t>
      </w:r>
    </w:p>
    <w:p>
      <w:r>
        <w:rPr>
          <w:b/>
        </w:rPr>
        <w:t>E. 5</w:t>
      </w:r>
    </w:p>
    <w:p>
      <w:r>
        <w:t>L’appelant conteste ensuite sa condamnation pour voies de fait qualifiées. Il soutient qu’il n’aurait pas vécu en concubinage avec G.________, de sorte que les faits ne se poursuivraient que sur plainte. Par ailleurs, en toute hypothèse, il conteste la version de son ex-compagne, laquelle ne serait pas suffisamment crédible contrairement à la sienne. Il expose en particulier que celle-ci l’avait d’abord accusé de viol avant de se rétracter.</w:t>
      </w:r>
    </w:p>
    <w:p>
      <w:r>
        <w:rPr>
          <w:b/>
        </w:rPr>
        <w:t>E. 5.1.1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ème éd., Bâle 2019, n. 19 ad art. 398 CPP et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5.1.2.1</w:t>
      </w:r>
    </w:p>
    <w:p>
      <w:r>
        <w:t>A teneur de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A titre d'exemples de voies de fait, on peut citer la gifle, le coup de poing ou de pied, les fortes bourrades avec les mains ou les coudes (TF 6B_187/2015 du 28 avril 2015 consid. 2.1)</w:t>
      </w:r>
    </w:p>
    <w:p>
      <w:r>
        <w:rPr>
          <w:b/>
        </w:rPr>
        <w:t>E. 5.1.2.2</w:t>
      </w:r>
    </w:p>
    <w:p>
      <w:r>
        <w:t>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 TF 6B_670/2023 du 4 octobre 2023 consid. 4.1 et les arrêts cités).</w:t>
      </w:r>
    </w:p>
    <w:p>
      <w:r>
        <w:rPr>
          <w:b/>
        </w:rPr>
        <w:t>E. 5.2</w:t>
      </w:r>
    </w:p>
    <w:p>
      <w:r>
        <w:t>C’est en vain que l’appelant conteste toute communauté de vie, en faisant valoir qu’il n’était que « colocataire ». En effet, R.________ et G.________ ont entretenu une relation de couple plus ou moins suivie dès 2006, celle-ci ayant évolué au rythme de nombreuses disputes et ruptures. Ils ont d’abord vécu séparément jusqu’en 2013, puis se sont installés ensemble dans un appartement à [...] et ce, jusqu’en décembre 2014. Durant cette période, ils ont eu un fils, [...], né en 2009. En 2016, l’appelant a recontacté G.________. Entre 2017 et 2018, il a fait des allers-retours entre le domicile de cette dernière et celui de sa nouvelle amie. Ils ont ainsi continué à avoir des rapports amoureux et sexuels. C’est du reste durant cette période que G.________ est tombée enceinte et a donné naissance, en 2017, à [...], dont il est admis que l’appelant en est le père biologique. Finalement, en octobre 2018, après s’être séparé de sa compagne, l’appelant est revenu vivre au domicile de G.________ qu’elle occupait avec leurs deux enfants. Il n'en est parti que trois ans plus tard, soit le 14 décembre 2020, date de l’intervention de la police et de son expulsion du logement. Durant cette période, le couple a continué à entretenir des relations sexuelles et avait, selon les dires de l’appelant, pour projet de déménager, avec leurs enfants, en [...] (cf. P. 4, p. 7). Au vu de ces éléments, il faut constater que les faits reprochés à l’appelant, qui, au demeurant, a déjà été poursuivi pénalement pour des violences domestiques dirigées contre sa partenaire G.________, s’inscrivent bien dans une relation de couple et non de colocataires, comme tous deux le soutiennent. C’est donc à raison que le premier juge a considéré que les faits se poursuivaient d’office. En ce qui concerne les faits proprement dits, il faut admettre, avec le premier juge, que l’appelant n’est pas crédible lorsqu’il prétend qu’il n’aurait pas commis les violences qui lui sont reprochées à l’endroit de G.________. En effet, celle-ci a livré un récit détaillé des coups qu’elle a reçus et n’a jamais varié dans ses déclarations. Elle n’a de plus jamais clairement accusé l’appelant de viol, contrairement à ce que celui-ci prétend pour tenter de la discréditer. Il faut également constater que le témoignage de G.________ est d’autant plus fiable que ce n’est pas la première fois que les tribunaux ont à juger de violences commises par l’appelant au sein de son couple. A cet égard, dans son jugement du 8 octobre 2018, le Tribunal de police de l’arrondissement de La Côté s’était déjà déclaré convaincu que l’appelant avait frappé G.________ à réitérées reprises, ce dernier ayant du reste reconnu avoir exercé des violences physiques sur l’intéressée (cf. P. 10, pp. 12-13). L’appelant ne saurait être suivi lorsqu’il soutient aujourd’hui que celle-ci aurait menti, aurait agi par vengeance et qu’il serait incapable de s’en prendre à elle, alors que son casier judiciaire atteste au contraire d’une propension à la violence et à l’agressivité. Partant, la condamnation de l’appelant pour voies de fait qualifiées doit être confirmée.</w:t>
      </w:r>
    </w:p>
    <w:p>
      <w:r>
        <w:rPr>
          <w:b/>
        </w:rPr>
        <w:t>E. 6</w:t>
      </w:r>
    </w:p>
    <w:p>
      <w:r>
        <w:t>L’appelant, qui conclut à son acquittement, ne conteste pas à titre subsidiaire le genre et la quotité de la peine prononcée à son encontre, soit 90 jours de peine privative de liberté et 1'200 fr. d’amende. Vérifiée d’office, cette peine est adéquate. Elle tient compte de la culpabilité de l’appelant, qui doit être qualifiée d’importante, celui-ci ayant persisté à commettre des violences sur la mère de ses enfants, notamment à une reprise en présence de leur fils, alors même qu’il avait déjà été jugé pour de tels faits en octobre 2018. En outre, il n’a fait preuve d’aucune forme de remise en question, allant jusqu’à essayer de discréditer la parole de la victime en prétendant qu’elle l’aurait faussement dénoncé par esprit de vengeance. Enfin, son séjour illégal en Suisse s’est déroulé sur une longue période de plus de trois ans. On ne distingue pas d’éléments à décharge si ce n’est que l’appelant paraît désormais respecter son statut de frontalier. Au vu de ses antécédents et de son absence d’amendement, seul un pronostic défavorable peut être émis, de sorte que, pour des motifs de prévention spéciale, la peine privative de liberté ferme de 90 jours prononcée en première instance doit être confirmée, aucune des précédentes condamnations à des peines pécuniaires, avec sursis, n’ayant dissuadé l’appelant de récidiver. L’amende de 1'200 fr. prononcée pour sanctionner les voies de faits qualifiées est également adéquate. II. Recours de Me Antoine Golano</w:t>
      </w:r>
    </w:p>
    <w:p>
      <w:r>
        <w:rPr>
          <w:b/>
        </w:rPr>
        <w:t>E. 7</w:t>
      </w:r>
    </w:p>
    <w:p>
      <w:r>
        <w:t>Me Antoine Golano conteste le montant de 5'502 fr. qui lui a été alloué en première instance à titre d’indemnité d’office.</w:t>
      </w:r>
    </w:p>
    <w:p>
      <w:r>
        <w:rPr>
          <w:b/>
        </w:rPr>
        <w:t>E. 7.1.1</w:t>
      </w:r>
    </w:p>
    <w:p>
      <w:r>
        <w:t>Lorsqu’un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w:t>
      </w:r>
    </w:p>
    <w:p>
      <w:r>
        <w:rPr>
          <w:b/>
        </w:rPr>
        <w:t>E. 7.1.2</w:t>
      </w:r>
    </w:p>
    <w:p>
      <w:r>
        <w:t>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De jurisprudence constante, il convient de retrancher toutes les réceptions de mémos et de lettres qui n'impliquent qu'une lecture cursive et brève (CAPE 23 mars 2022/147 consid. 8.2 et les arrêts cités). La confection de bordereaux, les « frais forfaitaires de secrétariat », les frais d’ouverture du dossier, le temps consacré à faire des photocopies et les simples courriers de transmission sont du travail de secrétariat et n’ont pas à être indemnisés comme du travail d’avocat (CAPE 23 mars 2022/147 précité et les arrêts cités).</w:t>
      </w:r>
    </w:p>
    <w:p>
      <w:r>
        <w:rPr>
          <w:b/>
        </w:rPr>
        <w:t>E. 7.2</w:t>
      </w:r>
    </w:p>
    <w:p>
      <w:r>
        <w:t>Le recourant reproche tout d’abord au premier juge d’avoir retranché le temps qu’il a consacré à la rédaction de trois courriels adressés à son client les 27 septembre 2022 et 31 janvier 2023, soit une durée totale de 0.35 heures (25 minutes). Il faut tout d’abord constater que, contrairement à ce qu’affirme le recourant, le premier juge n’a pas retranché les deux courriels du 31 janvier 2023, mais uniquement l’un d’eux représentant 0.10 heure d’activité, soit 6 minutes. C’est donc au total, 0.20 heure, soit 12 minutes, qui ont été retranchées pour les deux courriels des 27 septembre 2022 et 31 janvier 2023. On relèvera ensuite que, si on se réfère à la liste d’opérations du 11 mars 2023, ce ne sont pas moins de 37 courriels, totalisant 4.41 heures (4h24), qui ont été adressés au client. Quoi qu’on en en dise, cette durée est manifestement excessive compte tenu de l’absence de complexité factuelle et juridique de la cause. Elle l’est d’autant plus que le recourant a encore consacré 8.48 heures (8h28) à des entretiens par téléphone et des conférences avec son client et qu’il a pu, à ces occasions, lui fournir toutes explications utiles s’agissant des tenants et aboutissants de la procédure. Partant, il est justifié de considérer que certains des courriels mentionnés dans la liste d’opérations, dont ceux retenus en première instance, constituent de simples mémos, voire un soutien moral, qui ne sauraient être indemnisés dans le cadre de la défense d’office. Le recourant fait ensuite grief au premier juge d’avoir retranché un téléphone avec le greffe du Tribunal d’arrondissement d’une durée de 0.05 heure (3 minutes). En l’occurrence, les téléphones en lien avec la fixation d’une audience sont notoirement des tâches de secrétariat. Si tel n’avait pas été le cas, il appartenait à l’avocat de le préciser dans son relevé des opérations, ce qu’il n’a pas fait. Enfin, le recourant reproche au premier juge d’avoir réduit la durée consacrée à la préparation de l’audience de 6.5 heures (6h30) à 3.5 heures (3h30). Cette décision ne prête pas le flanc à la critique. En effet, la durée requise est manifestement exagérée s’agissant d’une cause dénuée de complexité, tant sur le plan des faits que du droit, relevant d’un tribunal de police. En l’espèce, il n’est pas arbitraire de considérer que 3h30 sont suffisantes pour examiner les questions juridiques de libre de circulation des personnes, ainsi que les questions factuelles liées essentiellement à la nature du partenariat entre son client et la victime. Il résulte de qui précède que la décision du premier juge fixant l’indemnité du défenseur d’office à 5'502 fr., débours et TVA compris, ne prête pas le flanc à la critique et doit être confirmée. III. Frais et indemnité</w:t>
      </w:r>
    </w:p>
    <w:p>
      <w:r>
        <w:rPr>
          <w:b/>
        </w:rPr>
        <w:t>E. 8</w:t>
      </w:r>
    </w:p>
    <w:p>
      <w:r>
        <w:t>En définitive, tant l’appel de R.________ que le recours de Me Antoine Golano doivent être rejetés et le jugement entrepris confirmé. Me Antoine Golano, défenseur d’office, a produit une liste d’opérations dans laquelle il indique une activité nécessaire d’avocat de 15.51 heures (15h31). A cet égard, le temps consacré à la préparation de l’audience, soit 4.50 heures (4h30), est manifestement excessif compte tenu de l’absence de complexité de la cause, de la connaissance du dossier acquise en première instance et du fait que l’avocat n’a, en définitive, fait que plaider ce qui figurait déjà dans la déclaration d’appel. Il sera donc réduit de 2 heures. Par ailleurs, il n’y a pas lieu d’indemniser les 30 minutes annoncées en vue d’un « entretien client après audience ». Il s’agit en effet d’une opération postérieure aux débats d’appel, qui est déjà prise en compte dans le cadre des « opérations post-clôture » indemnisées à raison de 1 heure d’activité. Enfin, la durée estimée pour les débats d’appel, soit 1 heure, sera réduite de 40 minutes, ceux-ci ayant finalement duré 20 minutes. C’est ainsi une durée totale de 12h21 qui sera retenue. Au tarif horaire de 180 fr., l’indemnité de défenseur d'office qui doit être allouée pour la procédure d'appel s’élève à 2’571 fr. 30, soit des honoraires de 2'223 fr., auxquels s’ajoutent les débours forfaitaires de 2 %, par 44 fr. 45, une vacation, par 120 fr., et la TVA sur le tout, par 183 fr. 85. Vu l’issue de la cause, les frais de la procédure d’appel et de recours, constitués des émoluments de jugement et d’audience, par 2’050 fr. (art. 21 al. 1 et 2 TFIP [tarif des frais de procédure et indemnités en matière pénale du 28 septembre 2010 ; BLV 312.03.1]), seront mis, par 220 fr., à la charge de Me Antoine Golano et, par 1'830 fr. à la charge de R.________, tous deux succombant (art. 428 al. 1 CPP). Ce dernier supportera également l’indemnité de défenseur d’office fixée à 2’571 fr. 30. R.________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