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416 vom 7. September 2020</w:t>
      </w:r>
    </w:p>
    <w:p>
      <w:r>
        <w:t>VD Tribunal cantonal, 2020-09-07, FR</w:t>
      </w:r>
    </w:p>
    <w:p>
      <w:r>
        <w:rPr>
          <w:b/>
        </w:rPr>
        <w:t xml:space="preserve">Quelle: </w:t>
      </w:r>
      <w:r>
        <w:t>https://mcp.opencaselaw.ch/entscheid/vd_findinfo_Jug___2023___416</w:t>
      </w:r>
    </w:p>
    <w:p>
      <w:r>
        <w:t>FR: VD_FINDINFO Jug / 2023 / 416 du 7 septembre 2020</w:t>
      </w:r>
    </w:p>
    <w:p>
      <w:r>
        <w:t>IT: VD_FINDINFO Jug / 2023 / 416 del 7 settembre 2020</w:t>
      </w:r>
    </w:p>
    <w:p>
      <w:pPr>
        <w:pStyle w:val="Heading2"/>
      </w:pPr>
      <w:r>
        <w:t>Regeste</w:t>
      </w:r>
    </w:p>
    <w:p>
      <w:r>
        <w:t>RÉVISION{DÉCISION}, DÉCISION D'IRRECEVABILITÉ | 410 al. 1 let. a CPP (CH), 412 al. 2 CPP (CH)</w:t>
      </w:r>
    </w:p>
    <w:p>
      <w:pPr>
        <w:pStyle w:val="Heading2"/>
      </w:pPr>
      <w:r>
        <w:t>Erwägungen</w:t>
      </w:r>
    </w:p>
    <w:p>
      <w:r>
        <w:rPr>
          <w:b/>
        </w:rPr>
        <w:t>E. 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Dans cette hypothèse, la demande de révision n’est soumise à aucun délai (art. 411 al. 2 CPP). Les demandes de révision doivent être motivées et adressées par écrit à la juridiction d’appel, les motifs de révision devant être exposés et justifiés dans la demande (art. 411 al. 1 CPP).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w:t>
      </w:r>
    </w:p>
    <w:p>
      <w:r>
        <w:rPr>
          <w:b/>
        </w:rPr>
        <w:t>E. 2</w:t>
      </w:r>
    </w:p>
    <w:p>
      <w:r>
        <w:t>A l’appui de sa demande, le requérant, qui sollicite une « qualification de [son] jugement d’assassinat en crime passionnel », soutient que le jugement rendu le 21 octobre 2019 au [...] serait un « faux document fabriqué par la police, l’interprète singhalais et le procureur ». Il prétend également avoir été « maltraité » durant l’enquête, en particulier de n’avoir pas été, au début, assisté d’un interprète et d’avoir été mal défendu par son avocat. Il fait en outre grief au Ministère public d’avoir affirmé qu’il avait donné six coups de couteau, alors qu’il n’en avait donné que trois. Enfin, il fait valoir qu’aucun témoin n’aurait été appelé à la barre et que les faits n’auraient pas été vérifiés par le premier juge. En l’occurrence, le requérant ne fait valoir aucun motif de révision, respectivement aucun fait ou moyen de preuve nouveau, mais discute uniquement des éléments qui ont déjà été examinés en première et deuxième instances.</w:t>
      </w:r>
    </w:p>
    <w:p>
      <w:r>
        <w:rPr>
          <w:b/>
        </w:rPr>
        <w:t>E. 3</w:t>
      </w:r>
    </w:p>
    <w:p>
      <w:r>
        <w:t>Il résulte de ce qui précède que la demande de révision formée par L.________ doit être déclarée irrecevable, sans échange d’écritures (art. 412 al. 2 CPP).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