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413 vom 30. Mai 2023</w:t>
      </w:r>
    </w:p>
    <w:p>
      <w:r>
        <w:t>VD Tribunal cantonal, 2023-05-30, FR</w:t>
      </w:r>
    </w:p>
    <w:p>
      <w:r>
        <w:rPr>
          <w:b/>
        </w:rPr>
        <w:t xml:space="preserve">Quelle: </w:t>
      </w:r>
      <w:r>
        <w:t>https://mcp.opencaselaw.ch/entscheid/vd_findinfo_Jug___2023___413</w:t>
      </w:r>
    </w:p>
    <w:p>
      <w:r>
        <w:t>FR: VD_FINDINFO Jug / 2023 / 413 du 30 mai 2023</w:t>
      </w:r>
    </w:p>
    <w:p>
      <w:r>
        <w:t>IT: VD_FINDINFO Jug / 2023 / 413 del 30 maggio 2023</w:t>
      </w:r>
    </w:p>
    <w:p>
      <w:pPr>
        <w:pStyle w:val="Heading2"/>
      </w:pPr>
      <w:r>
        <w:t>Regeste</w:t>
      </w:r>
    </w:p>
    <w:p>
      <w:r>
        <w:t>PEINE PRIVATIVE DE LIBERTÉ, CAS GRAVE, VIOLATION DES RÈGLES DE LA CIRCULATION, RÉVOCATION DU SURSIS, PROCÉDURE ÉCRITE | 40 CP, 42 al. 2 CP, 46 al. 1 CP, 47 CP</w:t>
      </w:r>
    </w:p>
    <w:p>
      <w:pPr>
        <w:pStyle w:val="Heading2"/>
      </w:pPr>
      <w:r>
        <w:t>Erwägungen</w:t>
      </w:r>
    </w:p>
    <w:p>
      <w:r>
        <w:rPr>
          <w:b/>
        </w:rPr>
        <w:t>E. 1</w:t>
      </w:r>
    </w:p>
    <w:p>
      <w:r>
        <w:t>X.________, de nationalité suisse, est né le [...] 1984. Après sa scolarité obligatoire, il a obtenu un CFC de cuisiner, puis a œuvré dans ce domaine mais aussi comme magasinier cariste. A la fin de l’année 2022, il a travaillé quelques mois comme cuisinier dans un restaurant à [...], pour un salaire mensuel brut de 3'700 francs. Depuis le 27 décembre 2022, il est en arrêt de travail pour cause d’accident. Il émarge actuellement à l’aide sociale en attendant d’obtenir des indemnités de l’assurance-accident. Il fait l’objet de poursuites pour un montant d’environ 8'000 francs. Il occupe seul un appartement à [...], dont le loyer mensuel s’élève à 1'125 francs. Son fils, [...], né le [...] 2018, est placé dans un foyer dans le canton de Fribourg. Il le voit les mardis et les jeudis en présence du grand-père paternel, ainsi que les dimanches sans surveillance, sous la condition d’un suivi régulier auprès du Centre cantonal d’addictologie (P. 61/2/6). Le casier judiciaire suisse de X.________ comporte les inscriptions suivantes : -              11.11.2013, Ministère public du canton de Fribourg : conduite d’un véhicule automobile en état d’ébriété avec un taux d’alcool qualifié et opposition ou dérobade aux mesures visant à déterminer l’incapacité de conduire ; travail d’intérêt général de 400 heures, dont 200 heures avec sursis pendant 4 ans ; -              14.12.2017, Ministère public du canton de Fribourg : opposition ou dérobade aux actes de l’autorité ; 10 jours-amende à 90 fr. le jour, avec sursis pendant 2 ans, et amende de 300 fr. ; -              30.10.2018, Ministère public du canton de Fribourg : lésions corporelles simples contre le partenaire et voies de fait ; 60 jours-amende à 60 fr. le jour, avec sursis pendant 4 ans, sous la condition de règles de conduite (suivi thérapeutique en matière de gestion de la violence et abstinence à l’alcool avec contrôle inopinés), et amende de 1'500 fr. ; délai d’épreuve prolongé d’une année le 07.01.2020 ; sursis révoqué le 31.5.2021 ; -              07.01.2020, Ministère public du canton de Fribourg : lésions corporelles simples contre le partenaire (commises à réitérées reprises), voies de fait, séquestration et enlèvement ; 180 jours de peine privative de liberté, avec sursis pendant 5 ans, et amende de 300 fr. ; délai d’épreuve prolongé de 2 ans le 05.11.2021 ; -              31.05.2021, Ministère public du canton de Fribourg : menaces et opposition aux actes de l’autorité ; 40 jours-amende à 80 fr. le jour et amende de 200 fr. ; -              05.11.2021, Ministère public du canton de Fribourg : voies de fait et lésions corporelles simples contre le partenaire ; 60 jours-amende à 80 fr. le jour et amende de 300 francs. L’extrait du Système d’information relatif à l’admission à la circulation (SIAC) de X.________ comporte les inscriptions suivantes : -              24.05.2006, retrait du permis pendant 4 mois pour vitesse, autre faute de la circulation et ébriété (cas grave + accident) ; -              26.07.2007, retrait du permis pendant 16 mois pour ébriété et distance insuffisante (cas grave + accident) ; -              31.10.2013, retrait du permis pour une durée indéterminée, avec délai d’attente de 2 ans, pour ébriété et entrave à une prise de sang (cas grave) ; -              03.08.2017, révocation du retrait de permis du 31.10.2013, avec conditions spéciales pendant 12 mois ; -              03.03.2021, retrait du permis pour une durée indéterminée, avec délai d’attente de 5 ans, médecin et psychologue du trafic (cas grave + accident), pour ébriété et inattention.</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3.1</w:t>
      </w:r>
    </w:p>
    <w:p>
      <w:r>
        <w:t>L’appelant soutient qu’il a pris conscience de son acte, qu’il s’est excusé à plusieurs reprises auprès de la victime, qu’il a pris en mains sa problématique d’addiction à l’alcool en suivant mensuellement, depuis mars 2023, une thérapie au Centre cantonal d’addictologie, qu’il est désormais abstinent, qu’il n’a pas commis de nouvelles infractions depuis le 7 janvier 2020, qu’une condamnation à une peine privative de liberté de 180 jours ferait obstacle à la relation qu’il entretient avec son fils et au bon développement de celui-ci, qu’il n’avait auparavant pas pu établir une relation stable avec son enfant en raison de ses problèmes d’addiction à l’alcool et à la drogue ainsi que de la relation toxique et conflictuelle qu’il entretenait avec son ancienne compagne et qu’il se bat actuellement pour obtenir la garde de son fils. Il considère que le prononcé d’une peine pécuniaire avec sursis total suffirait à le détourner de la commission de nouvelles infractions et qu’il n’y a pas lieu de révoquer le sursis accordé le 7 janvier 2020 par le Ministère public du canton de Fribourg compte tenu du pronostic qui n’est pas défavorable.</w:t>
      </w:r>
    </w:p>
    <w:p>
      <w:r>
        <w:rPr>
          <w:b/>
        </w:rPr>
        <w:t>E. 3.2.1</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 TF 6B_631/2021 du 7 février 2022 consid. 1.1).</w:t>
      </w:r>
    </w:p>
    <w:p>
      <w:r>
        <w:rPr>
          <w:b/>
        </w:rPr>
        <w:t>E. 3.2.3</w:t>
      </w:r>
    </w:p>
    <w:p>
      <w:r>
        <w:t>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3.3</w:t>
      </w:r>
    </w:p>
    <w:p>
      <w:r>
        <w:t>Il convient tout d’abord de relever que l’argument de l’appelant selon lequel il n’a pas commis de nouvelles infractions depuis le 7 janvier 2020 (déclaration d’appel, p. 3) est contraire à la vérité. En effet, outre l’accident du 7 novembre 2020 qui fait l’objet de la présente procédure, l’appelant a encore été condamné le 31 mai 2021 pour opposition aux actes de l’autorité le 9 janvier 2021 et menaces proférées les 27-28 janvier 2021, ainsi que le 5 novembre 2021 pour voies de fait commises contre le partenaire entre le 4 juin 2019 et le 7 avril 2021 et lésions corporelles simples commises contre le partenaire le 10 mai 2021. Avant l’accident du 10 novembre 2020, l’appelant a été condamné à quatre reprises par les autorités fribourgeoises en 2013, 2017, 2018 et 2020. Le travail d’intérêt général (en 2013) a été prononcé avec sursis partiel et toutes les autres peines l’ont été avec sursis complet (peines pécuniaires en 2017 et 2018 et peine privative de liberté en 2020). Il a été renoncé une fois à la révocation du sursis accordé en 2013, deux fois à la révocation du sursis accordé en 2017, une fois à la révocation du sursis accordé en 2018 et deux fois la révocation du sursis accordé en 2020. Le sursis accordé en 2018 a été prolongé d’une année et celui accordé en 2020 a été prolongé de deux ans. Le sursis accordé en 2018 a finalement été révoqué le 31 mai 2018. S’agissant des mesures administratives, l’appelant s’est vu retirer son permis de conduire trois fois, soit en 2006 pour 4 mois (ébriété), en 2007 pour une année (ébriété et distance insuffisante) et en 2013 pour une durée indéterminée (ébriété et entrave à la prise de sang). Ce dernier retrait de permis a été révoqué le 3 août 2017 sous conditions spéciales jusqu’au 2 août 2018. A la suite de l’accident faisant l’objet de la présente procédure, l’appelant s’est à nouveau vu retirer son permis pour une durée indéterminée, avec délai d’attente de 5 ans jusqu’au 9 novembre 2025. Le pronostic est résolument défavorable. En effet, alors que l’appelant avait déjà conduit par le passé plusieurs fois en état d’ébriété (et provoqué deux accidents) et que son permis de conduire lui avait déjà été retiré trois fois, la dernière fois pour une durée indéterminée avec un délai d’attente de deux ans, cela ne l’a pas empêché de reprendre le volant avec un taux d’alcoolémie de 2,43 g/kg et de provoquer une grave collision frontale, blessant la passagère avant de la voiture arrivant normalement en sens inverse. Comme indiqué par le premier juge, c’est un miracle qu’il n’y ait pas eu de morts. L’appelant se prévaut du fait que, depuis mars 2023, il bénéficie d’un suivi mensuel auprès du Centre cantonal d’addictologie à Fribourg pour traiter sa problématique d’addiction à d’alcool, ce qui démontrerait sa volonté de reprendre sa vie en mains et de récupérer la garde de son fils. Or une telle volonté doit être fortement relativisée puisque l’appelant a recouru le 27 avril 2023 – sans succès – contre la décision de la Justice de paix de l’arrondissement de la Broye (FR) du 5 décembre 2022 qui conditionnait l’exercice de son droit de visite sur son enfant à un suivi régulier auprès de cette même institution (P. 61/2/6, p. 8). A cela s’ajoute que l’appelant a récidivé en cours d’enquête : en janvier 2021, il a refusé d’obtempérer aux ordres des policiers qui ont dû s’interposer entre lui et sa compagne, alcoolisés, et il a menacé un collaborateur de l’institution au sein de laquelle son fils était placé de débarquer dans l’établissement avec un pistolet « s’il(s) ne faisai(en)t pas bien attention » (P. 25) ; en avril et mai 2021, il a encore eu un comportement violent envers sa partenaire (voies de fait et lésions corporelles simples). L’appelant se moque de l’ordre juridique et des conséquences que peuvent entraîner ses actes. Il n’a su saisir aucune des nombreuses chances qui lui ont été accordées sous forme de non-révocations de sursis à des peines pécuniaires et de prolongations du délai d’épreuve. Il serait vain de conditionner un éventuel sursis à des règles de conduite, puisque l’appelant n’a pas respecté celles prononcées le 30 octobre 2018, notamment concernant l’abstinence à l’alcool (P. 7, p. 2 ; P. 25). En l’état, seule une peine privative de liberté ferme sera à même d’amender durablement l’intéressé et de diminuer autant que faire se peut l’important risque qu’il représente pour la sécurité routière et l’intégrité corporelle voire la vie d’autrui. En outre, le fait que l’appelant devra exécuter la peine privative de liberté ferme nouvellement infligée ne suffira pas à le détourner de la commission de nouvelles infractions, de sorte que la révocation du sursis de 5 ans à la peine privative de liberté de 180 jours accordé le 7 janvier 2020 s’impose, pour des motifs de prévention spéciale c’est-à-dire pour que l’appelant puisse mesurer concrètement la gravité de sa récidive et comprendre que l’autorité ne tolérera plus aucun écart en matière de circulation routière.</w:t>
      </w:r>
    </w:p>
    <w:p>
      <w:r>
        <w:rPr>
          <w:b/>
        </w:rPr>
        <w:t>E. 4</w:t>
      </w:r>
    </w:p>
    <w:p>
      <w:r>
        <w:t>A titre très subsidiaire, l’appelant fait valoir qu’une interdiction de conduire pourrait constituer une alternative à la prison, mais son permis lui a de toute manière déjà été retiré pour une longue période. En outre, l’art. 67e CP, relatif à l’interdiction de conduire, n’est pas applicable aux infractions à la loi fédérale sur la circulation routière du 19 décembre 1958 (LCR ; RS 731.01) (ATF 137 IV 72 consid. 2).</w:t>
      </w:r>
    </w:p>
    <w:p>
      <w:r>
        <w:rPr>
          <w:b/>
        </w:rPr>
        <w:t>E. 5</w:t>
      </w:r>
    </w:p>
    <w:p>
      <w:r>
        <w:t>L’appelant ne critique pas la quotité de la peine privative de liberté d’ensemble de 360 jours prononcée. Revue d’office, la motivation du premier juge est adéquate et peut être confirmée par adoption de motifs (art. 82 al. 4 CPP ; jugement, pp. 19-20).</w:t>
      </w:r>
    </w:p>
    <w:p>
      <w:r>
        <w:rPr>
          <w:b/>
        </w:rPr>
        <w:t>E. 6</w:t>
      </w:r>
    </w:p>
    <w:p>
      <w:r>
        <w:t>Il résulte de ce qui précède que l’appel, manifestement mal fondé, doit être rejeté sans échange d’écritures (art. 390 al. 2 CPP par renvoi de l’art. 406 al. 4 CPP) et le jugement entrepris confirmé. La liste d’opérations produite par Me Monica Mitrea, défenseur d’office de X.________, indiquant 8h05 d’activité est admise. Au tarif horaire de 180 fr. (art. 2 al. 1 let. a et 3 al. 1 RAJ [règlement sur l'assistance judiciaire en matière civile du 7 décembre 2010 ; BLV 211.02.3] par renvoi de l'art. 26b TFIP), le défraiement s’élève à 1’455 francs. S'y ajoutent 2 % pour les débours (art. 3bis al. 1 RAJ par renvoi de l'art. 26b TFIP), soit 29 fr. 10, et 7,7 % de TVA sur le tout, soit 114 fr. 30, de sorte que l'indemnité d'office s’élève au total à 1’599 francs. Vu l’issue de la cause, les frais de la procédure d’appel, par 1'540 fr. (art. 21 al. 1 TFIP), ainsi que l'indemnité allouée au défenseur d'office, par 1'599 fr., soit au total 3'139 fr.,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