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411 vom 26. Juni 2023</w:t>
      </w:r>
    </w:p>
    <w:p>
      <w:r>
        <w:t>VD Tribunal cantonal, 2023-06-26, FR</w:t>
      </w:r>
    </w:p>
    <w:p>
      <w:r>
        <w:rPr>
          <w:b/>
        </w:rPr>
        <w:t xml:space="preserve">Quelle: </w:t>
      </w:r>
      <w:r>
        <w:t>https://mcp.opencaselaw.ch/entscheid/vd_findinfo_Jug___2023___411</w:t>
      </w:r>
    </w:p>
    <w:p>
      <w:r>
        <w:t>FR: VD_FINDINFO Jug / 2023 / 411 du 26 juin 2023</w:t>
      </w:r>
    </w:p>
    <w:p>
      <w:r>
        <w:t>IT: VD_FINDINFO Jug / 2023 / 411 del 26 giugno 2023</w:t>
      </w:r>
    </w:p>
    <w:p>
      <w:pPr>
        <w:pStyle w:val="Heading2"/>
      </w:pPr>
      <w:r>
        <w:t>Regeste</w:t>
      </w:r>
    </w:p>
    <w:p>
      <w:r>
        <w:t>NATURE JURIDIQUE, CONTRAINTE SEXUELLE | 189 al. 1 CP</w:t>
      </w:r>
    </w:p>
    <w:p>
      <w:pPr>
        <w:pStyle w:val="Heading2"/>
      </w:pPr>
      <w:r>
        <w:t>Erwägungen</w:t>
      </w:r>
    </w:p>
    <w:p>
      <w:r>
        <w:rPr>
          <w:b/>
        </w:rPr>
        <w:t>E. 1.1</w:t>
      </w:r>
    </w:p>
    <w:p>
      <w:r>
        <w:t>Interjeté dans les formes et délais légaux (art. 399 CPP [Code de procédure pénale suisse du</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 3.1 L’appelant ne conteste pas les faits. Il fait toutefois valoir que ceux-ci ne sont pas constitutifs de l’infraction de contrainte sexuelle mais de confrontation à un acte d’ordre sexuel, au motif qu’il n’avait pas pu y avoir de contrainte dès lors qu’il était sous l’emprise de l’alcool et de produits stupéfiants, que sa coordination motrice et son équilibre étaient ainsi nécessairement altérés, et qu’il n’était pas évident qu’il avait une supériorité physique sur la victime. Par ailleurs le lieu était public et fréquenté, soit moins propice à l’usage de la force et la plaignante avait pu facilement se soustraire à son comportement. L’appelant soutient encore que ses gestes étaient furtifs, la plaignante les ayants subis sans avoir le temps de lui signifier d’arrêter. Il relève que l’autorité de première instance avait admis que, pris isolément, les actes commis auraient pu être qualifiés de simples attouchements sexuels et que le critère de la répétition n’était pas un critère retenu par la jurisprudence. Il rappelle qu’il faut prendre en considération l’intensité du geste, les circonstances dans lesquelles l’auteur avait agi, et la mesure dans laquelle la victime pouvait se soustraire aux attouchements. 3.2 3.2.1 Aux termes de l’art. 189 al. 1 CP, celui qui, notamment en usant de menace ou de violence envers une personne, en exerçant sur elle des pressions d’ordre psychiques ou en la mettant hors d’état de résister l’aura contrainte à subir un acte analogue à l’acte sexuel ou un autre acte d’ordre sexuel, sera puni d’une peine privative de liberté de dix ans au plus ou d’une peine pécuniaire.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du 14 décembre 2021 consid. 2.2.1). Le viol et la contrainte sexuelle supposent ainsi l'emploi d'un moyen de contrainte. Il s'agit notamment de l'usage de la violence. La violence désigne l'emploi volontaire de la force physique sur la personne de la victime dans le but de la faire céder (ATF 148 IV 231 précité, consid. 3.3 ; ATF 122 IV 97 précité,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B_367/2021 précité consid. 2.2.1 ; TF 6B_59/2021 du 12 novembre 2021 consid. 2.2). La pression psychique générée par l'auteur et son effet sur la victime doivent néanmoins atteindre une intensité particulière (ATF 131 IV 167 consid. 3.1 et les références citées ; TF 6B_488/2021 précité consid. 5.4.2 ; TF 6B_367/2021 précité consid. 2.2.1). Pour déterminer si l'on se trouve en présence d'une contrainte sexuelle, il faut procéder à une appréciation globale des circonstances concrètes déterminantes (ATF 148 IV 234 précité, consid. 3.3 ; ATF 131 IV 107 consid. 2.2 ; TF 6B_488/2021 précité consid. 5.4.2 ; TF 6B_367/2021 précité consid. 2.2.1).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(TF 6B_103/2011 du 6 juin 2011 consid. 1.1 et les références citées ; TF 6B_303/2008 du 22 janvier 2009 consid. 3 et les références citées).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 3.2.2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cf. également TF 6P.123/2003 du 21 novembre 2003 consid. 6.1). Sont cependant aussi visés des contacts avec d’autres parties du corps, comme le ventre ou les jambes de la victime par exemple, même par-dessus les vêtements, la pression ou l'enlacement s’ils ont objectivement une connotation sexuelle ( ATF 137 IV 263 consid. 3.1 ; TF 6P.123/2003 précité et TF 6S.336/2003 du 21 novembre 2003 consid. 6.1). En cas de doute, il y a lieu d’examiner si l’intention de l’auteur était d’éveiller ou de satisfaire son instinct sexuel ou celui d’autrui (cf. Dupuis et crts, PC CP, 2 ème éd. 2017, n. 14 ad art. 198 CP et la référence citée). Si l’auteur ne se limite pas à un attouchement, par nature fugace, mais accomplit un acte d’ordre sexuel, l’art. 189 CP est seul applicable (TF 6B_303/2008 du 22 janvier 2009 consid. 3). Est dès lors déterminante, pour décider s’il y a acte d’ordre sexuel ou simple contravention, l’intensité de l’attouchement, soit s’il s’agit d’un geste furtif ou d’une caresse insistante (cf. TF 6B_303/2008 précité consid. 3 ; Dupuis et crts, op. cit., n. 27 ad art. 187 CP et les références citées). 3.3 En l’occurrence, Q.________ a apostrophé I.________ en lui disant « Mademoiselle, venez venez », elle s’est approchée à une distance de deux mètres de lui. Il l’a alors saisie au niveau de son avant-bras droit, l’a tirée vers lui, puis lui a dit de s’asseoir à sa gauche, sur le banc. Q.________ a alors essayé de lui enlever la bretelle de son sac, sur son épaule droite, contre son gré, et elle lui a dit « non ». Il a alors frotté sa main contre la fesse droite de la plaignante, sur son pantalon avant de lui saisir le poignet droit avec ses deux mains, afin de l’embrasser plusieurs fois sur sa main droite. L’appelant a ensuite continué ses agissements en saisissant le bras de I.________ au niveau de son biceps, et s’est mis à l’embrasser au niveau du cou et derrière l’oreille. L’appelant ne conteste pas la connotation sexuelle de son comportement, à juste titre. Reste à déterminer si l’on se trouve plutôt dans le registre des « mains baladeuses » entrant dans le cadre de l’art. 198 CP, ou si la contrainte au sens de l’art. 189 CP est réalisée. On relèvera en premier lieu que la plaignante a été saisie par le bras par Q.________ de 35 ans son aîné, et forcée de s’asseoir sur un banc, de sorte que l’élément de contrainte est réalisé. En effet, quoi qu’en dise l’appelant, il y avait bien une supériorité physique, quel qu’ait été son état et même s’il avait consommé de l’alcool. L’appelant a par ailleurs agi par surprise, rendant ainsi son geste plus contraignant, la victime n’ayant pas pu anticiper un moyen de défense. Par ailleurs, c’est à bon droit que l’autorité intimée a considéré que l’enchaînement et la répétition des actes excluaient qu’ils soient considérés comme fugaces. Le fait de poser les mains à plusieurs endroits de plus en plus connotés sexuellement, soit l’épaule, puis la fesse, puis d’embrasser dans le cou et derrière l’oreille après avoir à nouveau exercé la force physique pour saisir le bras au niveau du biceps, constitue un enchaînement de gestes suffisant pour qu’il soit considéré comme intense en raison de la durée de l’ensemble de ses actes. D’ailleurs, la plaignante a dû se dégager et s’échapper, ce qui exclut également que les gestes puissent être considérés comme fugaces et furtifs. Les éléments qui précèdent montrent qu’il y a bien eu une atteinte à l’intégrité sexuelle et pas seulement à la pudeur. A cela s’ajoute que la plaignante a été choquée, comme elle l’a exprimé aux débats devant le Tribunal de police (jugement attaqué, p. 4), voire traumatisée comme l’a confirmé le témoin [...] qui a déclaré « Quand je suis allée vers elle (ndlr : la plaignante) après avoir vu ce qui s’était passé, elle tremblait. Je pense qu’elle était en état de choc (…) Je précise que cet état de choc a duré tout le reste de la soirée (…) » (jugement attaqué p. 8). Elle est apparue encore très bouleversée aux débats de première instance (jugement attaqué p. 10), ce qui exclut que l’on retienne un simple désagrément. Ainsi, à l’instar de l’autorité intimée, il faut retenir que le comportement de Q.________ a excédé les désagréments causés par la confrontation à un acte d’ordre sexuel au sens de l’art. 198 CP et c’est à juste titre que le premier juge a retenu qu’il s’était rendu coupable de contrainte sexuelle au sens de l’art. 189 al. 1 CP. 4. 4.1 L’appelant ne conteste pas la peine en tant que telle, mais uniquement au motif qu’il doit être libéré du chef de contrainte sexuelle. Il convient néanmoins de la réexaminer d’office.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4.3 En l’occurrence, la Cour de céans considère que la peine pécuniaire, de 90 jours-amende à 50 fr. l’unité prononcée par le premier juge pour réprimer la contrainte sexuelle est adéquate. Cette peine a été fixée selon les critères légaux et la culpabilité de l’appelant, qui est loin d’être négligeable. En effet, les faits sont relativement graves, singulièrement en raison du fait que Q.________ s’en est pris à l’un des biens juridiques les plus précieux, à savoir l’intégrité sexuelle, particulièrement d’une jeune-femme. Ils le sont d’autant plus que I.________ était âgée de 17 ans au moment des faits, alors que l’appelant en avait 52. L’intéressé a agi pour des motifs futiles, soit « pour s’amuser dans la vie ». Il convient également de tenir compte de l’antécédent qui figure à son casier judiciaire. A décharge, on constate qu’à l’audience de première instance, Q.________ a formulé des regrets et des excuses. Pour le reste, on peut renvoyer à la motivation des premiers juges complète et convaincante (jugement attaqué, pp. 20 et 21; art. 82 al. 4 CPP). S’agissant du sursis, on peut suivre le premier juge qui a en substance retenu que Q.________ avait un antécédent mais dans un autre domaine d’infractions et qu’il avait exprimé des regrets, ce en quoi on pouvait voir une forme de prise de conscience et de remise en cause, de sorte que le pronostic n’était pas entièrement défavorable. Le délai d’épreuve de cinq ans prononcé, est adéquat et permettra à l’appelant de faire la démonstration de son bon comportement dans le temps. En outre, à l’instar du premier juge, la Cour de céans considère qu’il convient de lui infliger une amende à titre de sanction immédiate afin d’accentuer son attention sur le caractère répréhensible de ses actes. Ainsi, compte tenu du fait qu’une amende doit également être prononcée pour réprimer la contravention à la loi fédérale sur les stupéfiants, le montant de 1'000 fr. chiffré en première instance peut être confirmé, de même que la peine privative de liberté de substitution en cas de non-paiement fautif.</w:t>
      </w:r>
    </w:p>
    <w:p>
      <w:r>
        <w:rPr>
          <w:b/>
        </w:rPr>
        <w:t>E. 5</w:t>
      </w:r>
    </w:p>
    <w:p>
      <w:r>
        <w:t>En définitive, l’appel doit être rejeté et le jugement entrepris intégralement confirmé. Au vu de l’issue de la cause, les frais d’appel par 1'320 fr., constitués de l'émolument du présent jugement (art. 21 al. 1 TFIP [tarif des frais de procédure et indemnités en matière pénale du 28 septembre 2010 ; BLV 312.03.1]), sont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