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401 vom 20. Mai 2021</w:t>
      </w:r>
    </w:p>
    <w:p>
      <w:r>
        <w:t>VD Tribunal cantonal, 2021-05-20, FR</w:t>
      </w:r>
    </w:p>
    <w:p>
      <w:r>
        <w:rPr>
          <w:b/>
        </w:rPr>
        <w:t xml:space="preserve">Quelle: </w:t>
      </w:r>
      <w:r>
        <w:t>https://mcp.opencaselaw.ch/entscheid/vd_findinfo_Jug___2023___401</w:t>
      </w:r>
    </w:p>
    <w:p>
      <w:r>
        <w:t>FR: VD_FINDINFO Jug / 2023 / 401 du 20 mai 2021</w:t>
      </w:r>
    </w:p>
    <w:p>
      <w:r>
        <w:t>IT: VD_FINDINFO Jug / 2023 / 401 del 20 maggio 2021</w:t>
      </w:r>
    </w:p>
    <w:p>
      <w:pPr>
        <w:pStyle w:val="Heading2"/>
      </w:pPr>
      <w:r>
        <w:t>Regeste</w:t>
      </w:r>
    </w:p>
    <w:p>
      <w:r>
        <w:t>REJET DE LA DEMANDE, LIBÉRATION CONDITIONNELLE | 221 al. 1 let. a CPP (CH), 221 al. 1 let. b CPP (CH), 221 al. 1 let. c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 e éd., Bâle 2016, n. 4 ad art. 233 CPP).</w:t>
      </w:r>
    </w:p>
    <w:p>
      <w:r>
        <w:rPr>
          <w:b/>
        </w:rPr>
        <w:t>E. 1.2</w:t>
      </w:r>
    </w:p>
    <w:p>
      <w:r>
        <w:t>En l’espèce, la demande de libération présentée par A.T.________ est recevable.</w:t>
      </w:r>
    </w:p>
    <w:p>
      <w:r>
        <w:rPr>
          <w:b/>
        </w:rPr>
        <w:t>E. 1.3</w:t>
      </w:r>
    </w:p>
    <w:p>
      <w:r>
        <w:t>L’autorité investie de la direction de la procédure est le président du tribunal, respectivement le Président de la Cour de céans (art. 61 let. c CPP).</w:t>
      </w:r>
    </w:p>
    <w:p>
      <w:r>
        <w:rPr>
          <w:b/>
        </w:rPr>
        <w:t>E. 2</w:t>
      </w:r>
    </w:p>
    <w:p>
      <w:r>
        <w:t>Le requérant fait valoir qu’il a atteint les trois quarts de la peine à laquelle il s’expose en cas de condamnation de sorte qu’en application de l’art. 212 al. 3 CPP, les conditions d’une détention pour des motifs de sûretés ne seraient plus remplies.</w:t>
      </w:r>
    </w:p>
    <w:p>
      <w:r>
        <w:rPr>
          <w:b/>
        </w:rPr>
        <w:t>E. 2.1</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2.2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rPr>
          <w:b/>
        </w:rPr>
        <w:t>E. 2.3</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Il est dès lors possible de maintenir en détention pour des motifs de sûreté une personne condamnée à une expulsion et à une peine privative de liberté avec sursis, tant que la question de l'octroi du sursis est incertaine, tant que la détention subie ne dépasse pas la durée de la peine privative de liberté prononcée et tant que le principe de la célérité (art. 5 al. 1 CPP) est respecté (ATF 145 IV 179 consid. 3.1 ; ATF 143 IV 168 consid. 5 ; ATF 139 IV 270 précité).</w:t>
      </w:r>
    </w:p>
    <w:p>
      <w:r>
        <w:rPr>
          <w:b/>
        </w:rPr>
        <w:t>E. 2.4</w:t>
      </w:r>
    </w:p>
    <w:p>
      <w:r>
        <w:t>En l’espèce, A.T.________ a été reconnu coupable de menaces qualifiées, contrainte, tentative de contrainte, séquestration, viol, actes d’ordre sexuel commis sur une personne incapable de discernement ou de résistance, violation de domicile, délit à la loi sur les stupéfiants, contravention à la loi sur les stupéfiants et incitation au séjour illégal et a notamment été condamné à une peine privative de liberté de</w:t>
      </w:r>
    </w:p>
    <w:p>
      <w:r>
        <w:rPr>
          <w:b/>
        </w:rPr>
        <w:t>E. 5</w:t>
      </w:r>
    </w:p>
    <w:p>
      <w:r>
        <w:t>ans, ce qui correspond à 1'826 jours. Malgré l’annulation de ce jugement par le Tribunal fédéral, cette décision représente toujours un motif suffisant de détention. Depuis sa première interpellation le 24 juin 2018 et au jour de sa requête de mise en liberté, A.T.________ a été détenu durant 1'271 jours. Dans son courrier du 6 juillet 2021 il s’est opposé à la mesure d’expulsion du territoire suisse à laquelle il a été condamné pour une durée de cinq ans. Le solde de la peine qu’il devrait encore purger en Turquie fait également craindre qu’il entre dans la clandestinité. Dans ces circonstances, le maintien en détention de A.T.________ s’impose pour s’assurer de l’exécution de l’expulsion à l’issue de l’exécution de la peine. Par ailleurs, les mesures d’instruction ordonnées vont être réalisées prochainement, l’expert ayant annoncé le dépôt du rapport pour le 15 novembre prochain, de sorte qu’une nouvelle audience d’appel pourra être appointée à brève échéance. 3. Au vu de ce qui précède, le maintien en détention de A.T.________ pour des motifs de sûreté est justifié et sa demande de mise en liberté immédiate, manifestement mal fondée, doit être rejetée sans échange d’écritures (art. 390 al. 2 CPP). Vu l’issue de la cause, les frais du présent prononcé, par 720 fr. (art. 20 al. 1 TFIP [Tarif des frais de procédure et indemnités en matière pénale du 28 septembre 2010 ; BLV 312.03.1]), seront mis à la charge de Cihan Toptas,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