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399 vom 24. November 2022</w:t>
      </w:r>
    </w:p>
    <w:p>
      <w:r>
        <w:t>VD Tribunal cantonal, 2022-11-24, FR</w:t>
      </w:r>
    </w:p>
    <w:p>
      <w:r>
        <w:rPr>
          <w:b/>
        </w:rPr>
        <w:t xml:space="preserve">Quelle: </w:t>
      </w:r>
      <w:r>
        <w:t>https://mcp.opencaselaw.ch/entscheid/vd_findinfo_Jug___2023___399</w:t>
      </w:r>
    </w:p>
    <w:p>
      <w:r>
        <w:t>FR: VD_FINDINFO Jug / 2023 / 399 du 24 novembre 2022</w:t>
      </w:r>
    </w:p>
    <w:p>
      <w:r>
        <w:t>IT: VD_FINDINFO Jug / 2023 / 399 del 24 novembre 2022</w:t>
      </w:r>
    </w:p>
    <w:p>
      <w:pPr>
        <w:pStyle w:val="Heading2"/>
      </w:pPr>
      <w:r>
        <w:t>Regeste</w:t>
      </w:r>
    </w:p>
    <w:p>
      <w:r>
        <w:t>VIOL, VIOLATION DE DOMICILE, EXPULSION{DROIT PÉNAL}, PRÉSOMPTION D'INNOCENCE, VOIES DE FAIT, DOMMAGES À LA PROPRIÉTÉ{DROIT PÉNAL}, MENACE{DROIT PÉNAL} | 126 al. 2 let. b CP, 172ter CP, 180 al. 2 let. a CP, 186 CP, 190 al. 1 CP, 22 ad 186 CP, 66a al. 1 let. h CP</w:t>
      </w:r>
    </w:p>
    <w:p>
      <w:pPr>
        <w:pStyle w:val="Heading2"/>
      </w:pPr>
      <w:r>
        <w:t>Erwägungen</w:t>
      </w:r>
    </w:p>
    <w:p>
      <w:r>
        <w:rPr>
          <w:b/>
        </w:rPr>
        <w:t>E. 5</w:t>
      </w:r>
    </w:p>
    <w:p>
      <w:r>
        <w:t>L'appelant conteste sa condamnation pour de voies de faits qualifiées. Il soutient que, selon l'acte d'accusation, il n'aurait serré qu'à une reprise le cou de la plaignante, ce qui aurait pour conséquence que l'événement tomberait sous la qualification de voies de faits simple au sens de l'art. 126 al. 1 CP, la condition de la réitération de l’art. 126 al. 2 let. b CP n’étant pas réalisée. Il fait ainsi valoir que le droit de déposer plainte serait prescrit, l’acte d’accusation ne précisant pas quand en 2020 le serrage de cou aurait eu lieu.</w:t>
      </w:r>
    </w:p>
    <w:p>
      <w:r>
        <w:rPr>
          <w:b/>
        </w:rPr>
        <w:t>E. 5.1</w:t>
      </w:r>
    </w:p>
    <w:p>
      <w:r>
        <w:t>Selon l'art. 126 CP (Code pénal du 21 décembre 1937; RS 311.0), celui qui se sera livré sur une personne à des voies de fait qui n'auront causé ni lésion corporelle ni atteinte à la santé sera, sur plainte, puni d'une amende (al. 1). La poursuite aura lieu d'office notamment si l'auteur a agi à réitérées reprises contre son conjoint durant le mariage ou durant l'année qui a suivi le divorce (al. 2 let. b).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 La gifle, les coups de poing ou de pied ou les fortes bourrades avec les mains ou les coudes constituent des exemples types de voies de fait (Dupuis et alii, Petit commentaire du Code pénal, 2 e éd., Bâle 2017 nn. 4 et 5 ad art. 126 CP). La question de savoir si l'atteinte dépasse ce qui est socialement toléré, et parvient en ce sens au seuil des voies de fait, s'apprécie au regard des circonstances propres à chaque cas d'espèce (ATF 117 IV 14 consid. 2a ; Dupuis et alii, op. cit., n. 6 ad art. 126 CP). Les voies de fait ne sont en principe punissables que sur plainte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134 IV 189 consid. 1.2 ; ATF 129 IV 216 consid. 3.1). Pour interpréter cette notion relativement vague (Rémy, Commentaire romand, Code pénal II, Bâle 2017, nn. 11 et 13 ad art. 126 CP), il faut tenir compte de la fréquence des épisodes et de la longueur de la période dans laquelle ils se situent, mais ce qui est décisif c'est la pluralité des occasions où des coups sont donnés de manière à ce qu'on puisse en déduire une certaine habitude (Dupuis et alii, op. cit., n. 13 ad art. 126 CP).</w:t>
      </w:r>
    </w:p>
    <w:p>
      <w:r>
        <w:rPr>
          <w:b/>
        </w:rPr>
        <w:t>E. 5.2</w:t>
      </w:r>
    </w:p>
    <w:p>
      <w:r>
        <w:t>En l'espèce, l'argument de l'appelant est erroné dès lors que des voies de fait ne lui sont pas seulement reprochées pour les cas 1 (« été 2019 ») et 2 (« en 2020 »), mais également pour le cas 3, pour des gifles données à plusieurs reprises entre 2019 et le 29 janvier 2021, et pour le cas 6. Ainsi, le prévenu, qui était marié à la partie plaignante, s'est donc bien livré à des voies de fait à réitérées reprises compte tenu de l’état de fait retenu. Par ailleurs, si l'appelant a été libéré du chef d'infraction de voies de fait pour le cas 1, car elle était prescrite, cela n'empêche pas de retenir les faits dans le cadre de l'aggravante. Il s’ensuit que le moyen doit être rejeté et la condamnation d’G.________ pour voies de fait qualifiées confirmée.</w:t>
      </w:r>
    </w:p>
    <w:p>
      <w:r>
        <w:rPr>
          <w:b/>
        </w:rPr>
        <w:t>E. 6</w:t>
      </w:r>
    </w:p>
    <w:p>
      <w:r>
        <w:t>G.________ a également été renvoyé, et condamné pour dommages à la propriété pour avoir, entre le 29 octobre 2020 et le 29 janvier 2021, endommagé des affaires de son épouse Y.________, en particulier des robes et des pantalons qu’il jugeait trop serrés, ainsi que des cahiers de cours. La plainte concernant ces faits a été déposée le 29 janvier 2021. L’appelant conteste cette condamnation. Il soutient qu’il a toujours admis avoir déchiré le cahier de la plaignante mais non ses pantalons. Cet état de fait ne serait selon lui pas établi, ni que la valeur des objets concernés dépasserait 300 francs. Il s’agirait ainsi d’un cas bagatelle tombant sous le coup de l'art. 172 ter CP, et la plainte serait tardive.</w:t>
      </w:r>
    </w:p>
    <w:p>
      <w:r>
        <w:rPr>
          <w:b/>
        </w:rPr>
        <w:t>E. 6.2</w:t>
      </w:r>
    </w:p>
    <w:p>
      <w:r>
        <w:t>Selon l’art. 144 al. 1 CP, celui qui aura endommagé, détruit ou mis hors d’usage une chose appartenant à autrui ou frappée d’un droit d’usage ou d’usufruit au bénéfice d’autrui sera, sur plainte, puni d’une peine privative de liberté de trois ans au plus ou d’une peine pécuniaire. Le droit de porter plainte se prescrit par trois mois. Le délai court du jour où l’ayant droit a connu l’auteur de l’infraction (art. 31 CP). Selon l'art. 172 ter CP, si l'acte ne visait qu'un élément patrimonial de faible valeur ou un dommage de moindre importance, l'auteur sera, sur plainte, puni d'une amende. Un élément patrimonial est de faible valeur s'il ne vaut pas plus de 300 fr. (ATF 142 IV 129 consid. 3.1). Le critère déterminant est l'intention de l'auteur, non le résultat. L'art. 172 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 ter CP ne trouve pas application, même si le montant du délit est inférieur à 300 fr. (ATF 142 IV 129 consid. 3.1 ; TF 6B_217/2012 du 20 juillet 2012 consid. 4.3).</w:t>
      </w:r>
    </w:p>
    <w:p>
      <w:r>
        <w:rPr>
          <w:b/>
        </w:rPr>
        <w:t>E. 6.3</w:t>
      </w:r>
    </w:p>
    <w:p>
      <w:r>
        <w:t>En l’espèce, l'appelant doit être suivi. Qu'il s'agisse d’un carnet de cours ou de jeans/robes déchiquetés à coups de ciseaux, ils sont surtout révélateurs des tensions qui existaient au sein du couple et des comportements dont est capable le prévenu. Cependant, rien au dossier ne permet d’établir que les biens détruits par l’intéressé – même en tenant compte des habits – totaliseraient une valeur supérieure à 300 fr., et il ne peut donc être exclu que la plainte soit tardive à cet égard. La version des faits la plus favorable qui doit être retenue conduit donc à libérer G.________ de l’infraction de dommages à la propriété.</w:t>
      </w:r>
    </w:p>
    <w:p>
      <w:r>
        <w:rPr>
          <w:b/>
        </w:rPr>
        <w:t>E. 7</w:t>
      </w:r>
    </w:p>
    <w:p>
      <w:r>
        <w:t>L'appelant conteste sa condamnation pour menaces qualifiées. Il dresse un rappel de ses propres dénégations concernant lesdites menaces, dont on peut lui donner acte qu’elles ont été constantes, et soutient qu’il n'y aurait aucune raison de douter de la véracité de ses allégations, alors que la plaignante aurait constamment changé de versions. Cela étant, la crédibilité des déclarations de la partie plaignante a déjà été examinée au consid. 4.2 ci-avant et, les faits de l’acte d’accusation retenus en vertu de cette crédibilité impliquent le rejet de ce moyen. Du reste, des menaces de mort de l’appelant ont été expressément évoquées par l’enfant I.________, qui a aussi entendu son père menacer sa mère de la faire expulser du pays. Elles sont du reste crédibles au vu du climat délétère – établi – qui régnait au sein de la famille. Quant au fait qu’Y.________ ait fait état de menaces de défigurations seulement plusieurs mois après le dépôt de la plainte initiale, il n'est pas déterminant, puisqu’il ne s’agit pas de contradictions et qu’il n’est pas inhabituel que le processus de dévoilement amène les victimes de violence conjugale à fournir plus de détails au fur et à mesure des auditions. La condamnation d’G.________ pour menaces qualifiées doit dès lors être confirmée en lien avec les cas 1 et 3 de l’acte d’accusation, la qualification juridique des faits ne prêtant pas le flanc à la critique et n’étant au demeurant pas contestée.</w:t>
      </w:r>
    </w:p>
    <w:p>
      <w:r>
        <w:rPr>
          <w:b/>
        </w:rPr>
        <w:t>E. 8</w:t>
      </w:r>
    </w:p>
    <w:p>
      <w:r>
        <w:t>L’appelant conteste sa condamnation pour violation de domicile et tentative de violation de domicile en relation avec les cas 6 et 7 de l’acte d’accusation. Il soutient en substance qu’en sa qualité d’époux il était titulaire du droit au domicile, que la jouissance du logement conjugal n’avait pas été attribuée par mesures protectrices de l’union conjugale à l’époque concernée et qu’il n’y aurait donc pu y avoir violation de domicile que s’il avait violé une injonction de son épouse alors même que le logement lui avait été attribué, ce qui n’était pas le cas.</w:t>
      </w:r>
    </w:p>
    <w:p>
      <w:r>
        <w:rPr>
          <w:b/>
        </w:rPr>
        <w:t>E. 8.1</w:t>
      </w:r>
    </w:p>
    <w:p>
      <w:r>
        <w:t>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Le droit au domicile ainsi protégé appartient à celui qui détient le pouvoir de disposer des lieux, en vertu d'un droit réel ou personnel ou encore d'un rapport de droit public (ATF 118 IV 167 consid. 1c).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(ATF 87 IV 122). Il y a intrusion illicite aussitôt que l'auteur pénètre dans un local sans l'autorisation de celui qui a le pouvoir d'en disposer (ATF 108 IV 33 consid. 5c). La seconde hypothèse vise le cas où l'auteur se trouve déjà dans les lieux et qu'il n'y a pas pénétré contre la volonté de l'ayant droit. L'infraction est alors commise lorsque l'auteur ne quitte pas les lieux, malgré l'ordre intimé en ce sens par l'ayant droit (TF6B_95/2010 du 17 mai 2010 consid. 1.2 et les références citées). Dans un couple, le droit au domicile appartient aux deux conjoints, peu importe lequel des deux a la qualité de propriétaire ou de locataire (ATF 103 IV 163 consid. 1). La question de savoir s'il y a violation de domicile lorsque l'un des conjoints fait entrer un tiers contre la volonté de l'autre est délicate ; sous l'empire des anciennes dispositions concernant les effets généraux du mariage, il a été jugé que la volonté du mari primait, parce qu'il était le chef de l'union conjugale (ATF 103 IV 164 consid. 3b) ; en conséquence, il y avait violation de domicile si l'épouse faisait entrer un tiers contre la volonté du mari, mais pas dans le cas inverse ; depuis l'entrée en vigueur du nouveau droit du mariage, cette solution n'est plus applicable (ATF 103 IV 164 consid. 3b). Certains auteurs considèrent que les deux époux doivent être d'accord pour que la présence d'un tiers au domicile conjugal ne tombe pas sous le coup de l'art. 186 CP (Stratenwerth/Jenny, BT I, § 6 n° 7 et les références citées), tandis que d'autres soutiennent que l'autorisation de l'un des époux suffit (Schubarth, Band 3, art. 186 n° 32).</w:t>
      </w:r>
    </w:p>
    <w:p>
      <w:r>
        <w:rPr>
          <w:b/>
        </w:rPr>
        <w:t>E. 8.2</w:t>
      </w:r>
    </w:p>
    <w:p>
      <w:r>
        <w:t>En l’espèce, il est exact que l'expulsion du domicile conjugal telle que prononcée le 29 janvier 2021 avait pris fin les 7 mars et 3 avril 2021, et que le logement n'avait pas encore été attribué à l'un des deux époux par le biais de mesures protectrices de l’union conjugale. Dans ces circonstances, l'intimée n'avait certes pas un droit préférable à celui de l'appelant sur le logement. Cependant, avec les premiers juges, il y a lieu de constater qu’après son expulsion ordonnée le 29 janvier 2021, G.________ a vécu pendant environ un mois chez un ami à Morges avant de trouver un appartement à Yverdon-les-Bains. Par ailleurs, la convention de mesures protectrices de l’union conjugale signée en mai 2021 fait état d’une séparation intervenue le 29 janvier 2021 et d’une attribution du domicile conjugal à l’épouse. Force est ainsi de constater que les époux avaient alors d’ores et déjà convenu, au moment des faits visés par les cas 6 et 7, que le prévenu serait domicilié ailleurs que dans le logement conjugal et que ce dernier était attribué à l’épouse. Même si aucune décision judiciaire exécutoire ne lui en interdisait l'accès, l’appelant a par ailleurs reconnu ne plus avoir les clés de l’appartement et sonner pour rentrer, de sorte qu’il est constant qu’il avait renoncé à la maîtrise des lieux – maîtrise protégée par l’art. 186 CP – et qu’il n’avait plus le droit d’y pénétrer. Cela étant, le prévenu a reconnu que le 7 mars 2021 (cas 6) il avait demandé à son épouse de pouvoir rester dans l’appartement pour la nuit, qu’elle avait refusé, qu’il avait tenté de l’empêcher de faire appel à la police en lui saisissant le bras et avait seulement quitté les lieux plus tard (P. 12, p. 7). Il s’est donc rendu coupable de violation de domicile. Il a également reconnu que le 3 avril 2021 (cas 7) il avait pénétré dans l’immeuble par le garage dont il avait gardé la clé, qu’il avait ensuite sonné à la porte de l’appartement, que la plaignante avait entrouvert la porte, qu’il pensait qu’elle allait le laisser entrer mais qu’elle avait tenté de refermer la porte, qu’il s’était dès lors interposé pour tenir la porte entrouverte mais qu’il l’avait vue prendre sont téléphone et qu’il avait quitté les lieux en pensant qu’elle allait aviser la police. Ce faisant, il s’est rendu coupable de tentative de violation de domicile.</w:t>
      </w:r>
    </w:p>
    <w:p>
      <w:r>
        <w:rPr>
          <w:b/>
        </w:rPr>
        <w:t>E. 9</w:t>
      </w:r>
    </w:p>
    <w:p>
      <w:r>
        <w:t>L'appelant conteste enfin sa condamnation pour viol. Là encore, cette accusation reposerait uniquement sur les déclarations de la plaignante, qui ne seraient pas crédibles, alors que lui-même avait contesté les faits de façon constante. Il n’y avait pas de constat de lésions et l'attestation de la Dre [...] n'aurait pas de valeur probante dès lors qu'elle ne ferait que relater les déclarations de la plaignante. L’appelant soutient également que les déclarations d’Y.________, respectivement l'acte d'accusation, ne décrivent pas suffisamment précisément les faits, soit de manière trop générale et peu détaillée sur le plan temporel, spatial, que cela concerne les actes eux-mêmes ou les circonstances les entourant. La vacuité de l’accusation serait corroborée par l’absence de témoins et le jugement serait contradictoire en retenant une absence de détails au sujet des actes commis et en retenant une contrainte commise à au moins deux reprises.</w:t>
      </w:r>
    </w:p>
    <w:p>
      <w:r>
        <w:rPr>
          <w:b/>
        </w:rPr>
        <w:t>E. 9.1</w:t>
      </w:r>
    </w:p>
    <w:p>
      <w:r>
        <w:t>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66_159/2020 précité).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consid. 1.2 ; TF 6S.126/2007 du 7 juin 2007 consid. 6.2).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6B_502/2017 du 16 avril 2018 consid. 1.1 ; TF 66210/2012 du 3 avril 2013 consid. 3.1 ; TF 613_311/2011 du 19 juillet 2011 consid. 5.2). La jurisprudence a étendu la notion de contrainte, et ainsi l'application des art. 189 et 190 CP, à ce qu'elle a décrit comme de la « violence structurelle », soit un cas d'application des pressions d'ordre psychique. Selon le Tribunal fédéral, une telle situation existe en présence d'une « dépendance émotionnelle et sociale » telle que la victime est incapable de s'opposer à des atteintes de nature sexuelle. En d'autres termes, la victime, sans franchement donner son consentement, ne montre en tous les cas pas clairement d'opposition, parce qu'elle est si dépendante de l'auteur que cela lui est impossible (Perrier Depeursinges/Mathilde Boyer, Infractions contre l'intégrité sexuelle, Jurisprudence récente, difficultés pratiques et modifications législatives en cours, éd. Stämpfli, 2022, p. 12, et les références citées). Pour admettre qu'il y a contrainte, il ne suffit pas que l'auteur se borne à exploiter une situation préexistante qui apparaîtrait comme normale. L'auteur doit faire quelque chose en plus, soit qu'il renforce la situation de dépendance (en isolant la victime, en faisant preuve d'une sévérité extrême, en installant un climat de peur qui dissuade toute forme de résistance) soit qu'il la pervertisse (il met la victime dans un conflit de loyauté, pose l'acte sexuel comme une condition au bien-être familial, comme un acte « normal » dans la situation ou comme un geste d'affection indispensable, par exemple), le tout pour parvenir à satisfaire un désir sexuel (Perrier Depeursinges/Mathilde Boyer, op. cit., p. 13, et références citées). L'infraction de viol est intentionnelle. Le dol éventuel suffit. L'intention doit porter sur le moyen de contrainte, l'acte sexuel et la causalité.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(cf. TF 6B_1149/2014 du 16 juillet 2015 consid. 5.1.4 ; Corboz, Les infractions en droit suisse, vol. I, 3 e éd., Berne 2010, n. 11 ad art. 190 CP).</w:t>
      </w:r>
    </w:p>
    <w:p>
      <w:r>
        <w:rPr>
          <w:b/>
        </w:rPr>
        <w:t>E. 9.2</w:t>
      </w:r>
    </w:p>
    <w:p>
      <w:r>
        <w:t>Au début de l'enquête, la plaignante a expliqué avoir subi des violences sexuelles entre 2019 et janvier 2021, soit qu’elle ne souhaitait pas entretenir de relations intimes et que son époux, qui en avait envie, lui reprochait d’être tout le temps fatiguée et de ne pas avoir envie ; elle a précisé que ces épisodes étaient survenus fréquemment et que, lors de ceux-ci, il ne lui laissait pas le temps de s’exprimer et se plaçait immédiatement sur elle ; que ces épisodes se passaient dans la chambre à coucher, qu’elle portait un short de nuit et un t-shirt ; que son mari lui saisissait les mains et qu’elle n’avait plus la force de le repousser ; qu’au début elle se débattait en lui donnant des coups de pied ; qu’il l’avait alors giflée, qu’elle avait cessé de se débattre et l’avait laissé faire ; qu’elle lui disait d’arrêter et qu’il lui répondait qu’il devait se montrer violent à cause de son comportement ; qu’il lui disait que dans leur religion la femme devait obéir à son mari et entretenir des relations intimes lorsque celui-ci le voulait ; qu’elle n’avait pas crié de peur de réveiller ses deux filles qui dormaient dans la chambre d’à côté ; qu’elle n’avait jamais osé dénoncer les faits de peur d’être expulsée de Suisse sans ses enfants, dès lors que son époux lui disait qu’elle serait expulsée si elle le dénonçait (PV aud. 3, ll. 45 ss). Aux débats de première instance, Y.________ a déclaré qu’il était arrivé à plusieurs reprises qu’elle se débatte et donne des coups de pieds, puis que le prévenu la gifle ; elle a précisé que cela était arrivé presque tous les soirs qu’elle se débatte et qu’il la force à avoir une relation sexuelle ; qu’il voulait absolument avoir un garçon ; qu’au bout d’un certain temps elle arrêtait de se débattre car elle n’avait plus le courage et qu’il avait plus de force qu’elle ; que ses filles dormaient à côté, qu’elle ne voulait pas les réveiller et ne pouvait pas crier ; qu’elle avait peur de dénoncer les faits avant le 29 janvier 2021 car elle avait peur, dès lors que son époux lui disait qu’elle risquait d’être renvoyée de Suisse (jugt. p. 4). Enfin, aux débats d’appel, la plaignante a expliqué qu’elle avait cru que satisfaire son mari était un devoir conjugal et qu’elle n’avait pas le choix ; qu’elle s’était débattue mais ne pouvait pas dire à quelle fréquence les abus sexuels avaient eu lieu ; qu’elle ne voulait plus entretenir de relations sexuelles avec le prévenu et qu’elle n’était en conséquence jamais d’accord ; que les problèmes avaient commencé lorsqu’elle avait commencé à travailler et qu’il s’était mis en tête d’avoir un garçon ; qu’il lui réclamait des relations sexuelles après l’avoir maltraitée et qu’elle lui disait qu’elle n’avait pas envie ; qu’il la forçait néanmoins en lui tenant les bras ; que lorsqu’elle lui signifiait son désaccord elle commençait à s’énerver et qu’alors il la giflait ; que cela se passait surtout les deux dernières années lorsqu’elle avait commencé à travailler ; que c’était bizarre car il faisait tout cela et ensuite il pleurait et elle lui pardonnait car il la faisait culpabiliser ( supra pp. 6-7). En l’espèce, force est de constater que la plaignante – dont il a déjà été dit au consid. 4.2 ci-avant que ses déclarations sont crédibles – décrit de façon claire et constante dans toutes ses auditions un viol durant lequel elle s’est débattue, a donné des coups de pied et s’est finalement soumise à l’acte sexuel après avoir été giflée par le prévenu. Si l’on ignore certes à combien de reprises de tels faits se seraient produits, Y.________ ayant précisé s’être débattue et avoir été giflée « à plusieurs reprises » – mais aussi avoir cessé d’opposer une résistance après un certain temps et avoir consenti à certains actes par résignation – il n’en demeure pas moins qu’il s’agit d’une description suffisante de la contrainte physique utilisée par l’auteur. La plaignante a également expliqué qu’il lui avait maintenu les mains ou les bras. Ces éléments figurent bien dans l’acte d’accusation. Par ailleurs, la violence domestique d’G.________ et ses menaces sont avérées, puisqu’elles découlent non seulement des déclarations d’Y.________, mais également de celles de l’enfant I.________. A cela s’ajoute encore que l’intéressé a installé un climat de terreur qu’il a manifestement exploité pour atténuer la résistance de sa victime, en instillant chez elle la crainte de se faire expulser de Suisse sans ses enfants. Il tentait également de réduire sa capacité de résistance en lui disant qu’entretenir des relations sexuelles à la demande du mari était un devoir conjugal. Cela étant, il doit être admis que les viols dans le cadre de l'union conjugale ne peuvent être précisément détaillés et datés. Reste que la plaignante a néanmoins donné passablement de détails, notamment sur le lieu où se sont déroulés les faits (la chambre à coucher), sur son habillement (un short de nuit et un t-shirt), sur les raisons pour lesquelles elle n’a pas dénoncé les faits plus tôt et s’est souvent soumise sans grande résistance (la peur d’être expulsée instillée par le prévenu, la conviction d’honorer un devoir conjugal, le fait qu’il était plus fort physiquement, le fait qu’il la culpabilisait, avec la précision qu’on imagine mal être inventée qu’il pleurait après l’acte et qu’elle lui pardonnait, etc.), sur le moment à partir duquel il commençait à se montrer violent (lorsqu’elle s’énervait pour signifier son refus), sur la raison pour laquelle elle ne pouvait pas crier (les enfants qui dormaient dans la pièce attenante) et encore sur les motifs pour lesquels le prévenu agissait ainsi (elle n’avait jamais envie de faire l’amour et lui, qui en avait envie, s’était mis en tête d’avoir un garçon). On ne saurait ainsi considérer que les déclarations de la plaignante sont trop vagues et générales et le fait qu’il n’y ait pas de preuves matérielles ou de témoignages est tout à fait usuel dans les cas de viol conjugal. On peut encore ajouter que, quoi qu’en dise l’appelant, le fait que la plaignante se soit confiée à sa thérapeute constitue un indice de la réalité des faits. En définitive, seule la question de la fréquence des viols reste incertaine et le principe de la présomption d’innocence ne peut s’appliquer qu’à cette seule question, tout doute étant par ailleurs exclu quant à la réalité du viol, qui doit être retenu pour un acte au moins. Compte tenu de ce qui précède, la condamnation d’G.________ pour viol doit être confirmée.</w:t>
      </w:r>
    </w:p>
    <w:p>
      <w:r>
        <w:rPr>
          <w:b/>
        </w:rPr>
        <w:t>E. 10</w:t>
      </w:r>
    </w:p>
    <w:p>
      <w:r>
        <w:t>L’appelant, qui soutient qu’il doit être libéré de toute peine compte tenu de l’acquittement total auquel il prétend, ne développe aucune argumentation concernant la peine qui lui a été infligée, qui doit être examinée d’office.</w:t>
      </w:r>
    </w:p>
    <w:p>
      <w:r>
        <w:rPr>
          <w:b/>
        </w:rPr>
        <w:t>E. 10.1.1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10.1.2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du 27 octobre 2021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10.2</w:t>
      </w:r>
    </w:p>
    <w:p>
      <w:r>
        <w:t>Les premiers juges ont considéré que la culpabilité du prévenu était lourde. Il s’en était pris à l’intégrité physique et sexuelle de son épouse, ainsi qu’à sa liberté. Il persistait dans ses dénégations, ne témoignait aucune prise de conscience et tentait même de rejeter la faute sur son épouse en se faisant passer pour une victime. Il avait en outre continué à commettre des infractions après son expulsion du domicile conjugal et alors qu’une instruction avait déjà été ouverte à son encontre. Aucun élément à décharge ne pouvait être retenu. Ces considérations ne prêtent pas le flanc à la critique et doivent être suivies. On ne discerne effectivement aucun élément à décharge et la prise de conscience est demeurée inexistante jusqu’à l’audience d’appel. Toutes les infractions à considérer s’inscrivent dans le même contexte et doivent être sanctionnées d’une peine privative de liberté – à l’exception de la contravention – pour des raisons de prévention, compte tenu de la multiplication des actes délictuels sur une certaine durée et de la gravité des faits. L’infraction la plus grave est le viol et elle doit être sanctionnée d’une peine de base de 24 mois. Cette peine de base sera augmentée par l’effet du concours de 4 mois pour sanctionner les menaces qualifiées (2 + 2) et de 3 mois pour les violations de domicile consommée et tentée (2 + 1), soit une peine privative de liberté de 31 mois au total, sous déduction d’un jour de détention. Compte tenu du fait que le prévenu est primodélinquant et qu’il ne s’en est pris qu’à son épouse, dont il est séparé aujourd’hui, le pronostic d’amendement ne peut pas être qualifié de complètement défavorable. Il y a lieu de considérer, avec les premiers juges, qu’une peine prononcée avec sursis partiel – un sursis complet étant exclu au vu de la quotité de la peine – sera suffisante pour le détourner de la commission d’autres infractions. La part ferme de la peine portera sur une durée de 6 mois et le délai d’épreuve sera fixé à 3 ans. Enfin, l’amende de 700 fr. réprimant les voies de faits qualifiées, qui n’est pas non plus contestée dans sa quotité, est adéquate et sera confirmée.</w:t>
      </w:r>
    </w:p>
    <w:p>
      <w:r>
        <w:rPr>
          <w:b/>
        </w:rPr>
        <w:t>E. 11</w:t>
      </w:r>
    </w:p>
    <w:p>
      <w:r>
        <w:t>L’appelant conteste la mesure d’expulsion prononcée à son encontre. Dans la mesure où il conclut à sa libération du chef d’accusation de viol, il estime que seule une expulsion facultative entre en ligne de compte, et que la pesée des intérêts doit dès lors se faire de manière moins stricte. Il se prévaut du fait qu’il réside en Suisse depuis 2017, qu’il dispose d’un permis C et que ses enfants mineurs vivent en Suisse. Il conteste que son droit de visite s’exerce de manière irrégulière et restreinte. Il expose aussi qu’il contribue à l’entretien de ses filles, qui dépendraient du Revenu d’insertion s’il venait à être expulsé. Il disposerait ainsi de solides attaches en Suisse. En Tunisie, il n’aurait plus que ses frères et sœurs avec lesquels il aurait peu de contacts. Il ne parlerait pas bien l’italien et l’entreprise qui l’employait en Italie aurait fermé. En définitive, il disposerait d’un intérêt privé important à demeurer en Suisse, tandis qu’il n’y aurait pas de véritable intérêt public à son renvoi.</w:t>
      </w:r>
    </w:p>
    <w:p>
      <w:r>
        <w:rPr>
          <w:b/>
        </w:rPr>
        <w:t>E. 11.1.1</w:t>
      </w:r>
    </w:p>
    <w:p>
      <w:r>
        <w:t>Selon l'art. 66a al. 1 let. h CP, le juge expulse de Suisse, pour une durée de cinq à quinze ans, l'étranger qui est condamné pour viol notamment.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11.1.2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(Convention de sauvegarde des droits de l’homme et des libertés fondamentales conclue à Rome le 4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6B_627/2021 du 27 août 2021 consid. 4.2.2 ; TF 6B_379/2021 du 30 juin 2021 consid. 1.2). Un séjour légal de dix années suppose en principe une bonne intégration de l’étranger (ATF 144 I 266 consid. 3.9 ; TF 6B_38/2021 du 14 février 2022 consid. 5.1.2). Par ailleurs, un étranger peut se prévaloir de l’art. 8 § 1 CEDH (et de l’art. 13 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 Selon la jurisprudence de la CourEDH, dans la mesure où elle porte atteinte à un droit protégé par l'art. 8 par. 1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avec de nombreuses références ; cf. ATF 139 I 145 consid. 2.4 ; ATF 139 I 31 consid. 2.3.3 ; TF 6B_855/2020 précité consid. 3.2.5 ; TF 6B_693/2020 du 18 janvier 2021 consid. 7.1.1). La question de savoir si l'atteinte à la garantie de la vie familiale est « nécessaire » au sens de l'art. 8 par. 2 CEDH implique en outre de prendre en considération les critères suivants : la nationalité des diverses personnes concernées ; la situation familiale de l'intéressé,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 I.M. c. Suisse du 9 avril 2019 [requête n° 23887/16], § 69 ; Kissiwa Koffi c. Suisse du 15 novembre 2012 [requête n° 38005/07], § 63 ; Üner c. Pays-Bas du 18 octobre 2006, [requête n° 46410/99], §§57 s. ; Sezen c. Pays-Bas du 31 janvier 2006 [requête n° 50252/99], § 42 ; Boultif précité, § 48 ; voir également TF 6B_855/2020 précité consid. 3.3.1 ; TF 6B_249/2020 du 27 mai 2021 consid. 5.4.1 ; TF 6B_131/2019 du 27 septembre 2019 consid. 2.5.3). La CourEDH a précisé que si des enfants sont concernés, leur intérêt supérieur doit également être pris en compte en tant qu'élément essentiel de la mise en balance des intérêts (arrêts de la CourEDH du 22 décembre 2020 [requête n° 43936/18], § 56; aussi: ATF 143 I 21 consid. 5.5.1 ; TF 6B_1275/2020 du 4 mars 2021 consid. 1.4.3).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de la CEDH (voir les arrêts de la CourEDH Sezen précité, § 49 ; Mehemi c. France (n° 2) du 10 avril 2003 [requête n° 53470/99], § 45 ; TF 6B_855/2020 précité consid. 3.3.2). La décision de renvoi ne peut être prise dans ce cas qu'après une mise en balance approfondie et complète des intérêts et uniquement sur la base de considérations ayant suffisamment de poids et de solidité (TF 6B_1465/2020 du 18 novembre 2021 consid. 4.3.1 ; voir arrêts de la CourEDH Olsson c. Suède (n° 1) du 24 mars 1988 [requête n° 10465/83], § 72, cité dans l'arrêt CourEDH Mehemi précité ; voir aussi : TF 6B_855/2020 précité consid. 3.3.2).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33 de la Convention du 28 juillet 1951 relative au statut des réfugiés [RS 0.142.30] ; art. 3 de la Convention du 10 décembre 1984 contre la torture et autres peines ou traitements cruels, inhumains ou dégradants [RS 0.105]), alors même que ces garanties sont encore expressément réservées par l'art. 66d al. 1 CP (ATF 147 IV 453 consid. 1.4.5 ; TF 6B_747/2019 du 24 juin 2020 consid. 2.1.2 ; cf. Busslinger/Uebersax, Härtefallklausel und migrationsrechtliche Auswirkungen der Landesverweisung, Plädoyer 5/16 p. 99).</w:t>
      </w:r>
    </w:p>
    <w:p>
      <w:r>
        <w:rPr>
          <w:b/>
        </w:rPr>
        <w:t>E. 11.2</w:t>
      </w:r>
    </w:p>
    <w:p>
      <w:r>
        <w:t>En l’espèce, l’appelant est reconnu coupable de viol, de sorte qu’il se trouve bien dans un cas d’expulsion obligatoire. S’il est vrai qu’G.________ est primo délinquant, il n’en demeure pas moins que les faits sont graves et que certains de ses agissements ont été commis à réitérées reprises et sur une certaine durée. La prise de conscience est totalement inexistante et l’intéressé, qui a persisté à nier l’évidence et à rejeter la faute sur son épouse jusqu’à la fin, qui se fait passer pour une victime et qui prétend que sa fille – qui a fait preuve de courage en faisant appel à la police pour dénoncer ses agissements – a été manipulée, a continué à commettre des infractions malgré une expulsion du domicile conjugal et l’ouverture d’une enquête. Ainsi, l’intérêt public à l’expulsion du prévenu, qui réside notamment dans le fait de protéger les femmes des violences dont il est capable, le risque de récidive ne pouvant être exclu en cas de nouvelle relation de couple, est donc important. G.________ possède les nationalités italienne et tunisienne. Ses parents sont décédés mais ses frères et sœurs vivent en Tunisie, son pays d’origine, dont il parle la langue et dans lequel il a effectué ses études. En cours d’instruction et aux débats, le prévenu a déclaré qu’il se rendait en Tunisie pour les vacances car il avait des affaires à régler là-bas ; que toute sa famille était en Tunisie et qu’il était propriétaire d’une maison dans ce pays, que son frère gérait sur place, qui était parfois occupée mais vide la plupart du temps. Curieusement, à l’audience d’appel il a déclaré ne plus avoir beaucoup de contacts avec ses frères et sœurs et avoir laissé sa maison à son frère. Ces déclarations ne sont toutefois pas crédibles dès lors qu’elles interviennent à ce stade de la procédure, qu’elles font ainsi office de stratégie défensive de dernière minute, qu’elles ne sont pas étayées et qu’elles sont en contradiction avec ce qui a été dit précédemment sans qu’on ne comprenne pour quel motif de tels changements auraient eu lieu. Il y a ainsi lieu de retenir que le prévenu a des attaches importantes dans son pays d’origine. Il a en outre vécu et travaillé durant plusieurs années en Italie. Cela étant, les liens qu’G.________ entretient avec la Suisse sont globalement ténus, dès lors qu'il ne vit dans notre pays que depuis 2016. Il a certes un emploi et n’a pas de dettes mais, concrètement et si l’on fait abstraction de sa situation familiale, son intérêt à demeurer en Suisse n’est pas très important et son renvoi en Tunisie, où il a des liens importants, ou en Italie, où il pourrait travailler comme il l’a déjà fait et ainsi contribuer à l’entretien de ses filles, ne le mettrait en tout cas pas dans une situation personnelle grave. Par ailleurs, l’existence du droit de visite du prévenu sur ses enfants – qui est effectivement restreint puisqu’il se limite à deux fois deux heures par mois – est insuffisante pour faire apparaître son intérêt privé à demeurer en Suisse comme plus important que l’intérêt public à l’expulser au regard de la jurisprudence précitée. En effet, faute de ménage commun et compte tenu du comportement de l’intéressé, qui s’est comporté en tyran domestique avec son épouse, dont il va divorcer et avec laquelle il n’a donc plus de perspective d’avenir, le renvoi d’G.________ n’est pas susceptible d’engendrer la rupture d’une communauté familiale précédemment intacte des parents et des enfants, de sorte qu’il est compatible avec l’art. 8 CEDH. Il pourra accueillir ses enfants dans son pays d’origine, puisque les filles vont en vacances en Tunisie chaque année pour les vacances scolaires (cf. supra p. 6), ou en Italie, pays limitrophe, et maintenir des contacts avec elles dans l'intervalle par le biais des outils de communication modernes.</w:t>
      </w:r>
    </w:p>
    <w:p>
      <w:r>
        <w:rPr>
          <w:b/>
        </w:rPr>
        <w:t>E. 12.1</w:t>
      </w:r>
    </w:p>
    <w:p>
      <w:r>
        <w:t>L’appelant soutient encore, toujours en se fondant sur l’hypothèse non-réalisée de son acquittement complet, que les conclusions civiles allouées à la partie plaignante doivent être rejetées. Cela étant, l’appelant demeure condamné pour les infractions les plus graves commises à l’encontre d’Y.________, notamment celle de viol, et la somme de 6'000 fr. allouée à cette dernière à titre de réparation morale est adéquate et correspond aux souffrances endurées par la victime, étant précisé que la quotité de cette indemnité n’est pas remise en cause par l’appelant.</w:t>
      </w:r>
    </w:p>
    <w:p>
      <w:r>
        <w:rPr>
          <w:b/>
        </w:rPr>
        <w:t>E. 12.2</w:t>
      </w:r>
    </w:p>
    <w:p>
      <w:r>
        <w:t>L’appelant a conclu, encore en se fondant sur l’hypothèse non-réalisée de son acquittement complet, que les frais de justice, y compris les indemnités allouées à son défenseur d’office et au conseil juridique gratuit de la plaignante, soient laissés à la charge de l’Etat. C’est toutefois à juste titre que ces frais ont entièrement été mis à sa charge (art. 426 al. 1 CPP), et sa libération de l’infraction de dommages à la propriété pour des valeurs patrimoniales de faible valeur – pour des questions procédurales uniquement – ne justifie pas une répartition différente des frais. La destruction du cahier de cours à tout le moins est admise et constitue une faute civile (art. 426 al. 2) et, de toute manière, ce cas fait office de bagatelle au sein de l’acte d’accusation et s’inscrit de manière générale dans un même complexe de faits, de sorte qu’il n’a à l’évidence donné lieu à aucune opération supplémentaire d’instruction ni à n’a engendré de travail supplémentaire pour les avocats ou l’autorité.</w:t>
      </w:r>
    </w:p>
    <w:p>
      <w:r>
        <w:rPr>
          <w:b/>
        </w:rPr>
        <w:t>E. 12.3</w:t>
      </w:r>
    </w:p>
    <w:p>
      <w:r>
        <w:t>Compte tenu de ce qui précède, l’appelant ne saurait prétendre à une quelconque indemnité au sens de l’art. 429 CPP.</w:t>
      </w:r>
    </w:p>
    <w:p>
      <w:r>
        <w:rPr>
          <w:b/>
        </w:rPr>
        <w:t>E. 13</w:t>
      </w:r>
    </w:p>
    <w:p>
      <w:r>
        <w:t>Au vu de ce qui précède, l’appel d’G.________ doit être très partiellement admis et le jugement entrepris réformé dans le sens des considérants qui précèdent. Le défenseur d’office d’G.________ a produit en audience une liste d’opérations dont il n’y a pas lieu de s’écarter. C’est donc le montant demandé, par 1'910 fr. 60, qui sera alloué à Me Sandro Brantschen pour la procédure d’appel, TVA, débours et une vacation compris. Le conseil juridique gratuit d’Y.________ a produit en audience une liste d’opérations dont il n’y a pas lieu de s’écarter, si ce n’est pour ajouter le temps consacré à l’audience d’appel. C’est donc une indemnité de 1'249 fr. 75, correspondant à 5,66 heures d’activité au tarif horaire de 180 fr., à 20 fr. 40 de débours forfaitaires au taux de 2%, à une vacation à 120 fr. et à 89 fr. 35 de TVA qui sera allouée à Me Anne-Louise Gillièron pour la procédure d’appel. Vu l’issue de la cause, les frais de la procédure d’appel, par 7'490 fr. 35, constitués des émoluments de jugement et d’audience (art. 21 al. 1 et 2 TFIP), par 4’330 fr., ainsi que des indemnités d’office précitées, seront mis par trois quarts à la charge d’G.________, par 5'617 fr. 75, le solde étant laissé à la charge de l’Etat. G.________ ne sera tenu de rembourser à l’Etat les trois quarts des indemnités allouées à son défenseur d’office et au conseil juridique gratuit de la partie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