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391 vom 15. November 2022</w:t>
      </w:r>
    </w:p>
    <w:p>
      <w:r>
        <w:t>VD Tribunal cantonal, 2022-11-15, FR</w:t>
      </w:r>
    </w:p>
    <w:p>
      <w:r>
        <w:rPr>
          <w:b/>
        </w:rPr>
        <w:t xml:space="preserve">Quelle: </w:t>
      </w:r>
      <w:r>
        <w:t>https://mcp.opencaselaw.ch/entscheid/vd_findinfo_Jug___2023___391</w:t>
      </w:r>
    </w:p>
    <w:p>
      <w:r>
        <w:t>FR: VD_FINDINFO Jug / 2023 / 391 du 15 novembre 2022</w:t>
      </w:r>
    </w:p>
    <w:p>
      <w:r>
        <w:t>IT: VD_FINDINFO Jug / 2023 / 391 del 15 novembre 2022</w:t>
      </w:r>
    </w:p>
    <w:p>
      <w:pPr>
        <w:pStyle w:val="Heading2"/>
      </w:pPr>
      <w:r>
        <w:t>Regeste</w:t>
      </w:r>
    </w:p>
    <w:p>
      <w:r>
        <w:t>ESCROQUERIE, ASSISTANCE PUBLIQUE, CIRCULATION SANS PERMIS DE CIRCULATION | 146 al. 1 CP, 251 ch. 1 CP, 96 ch. 1 LCR</w:t>
      </w:r>
    </w:p>
    <w:p>
      <w:pPr>
        <w:pStyle w:val="Heading2"/>
      </w:pPr>
      <w:r>
        <w:t>Erwägungen</w:t>
      </w:r>
    </w:p>
    <w:p>
      <w:r>
        <w:rPr>
          <w:b/>
        </w:rPr>
        <w:t>E. 1</w:t>
      </w:r>
    </w:p>
    <w:p>
      <w:r>
        <w:t>Interjeté dans les formes et délais légaux (art. 399 CPP [Code de procédure pénale du 5 octobre 2007 ; 312.0]) par une partie ayant la qualité pour recourir (art. 382 al. 1 CPP) contre le jugement d’un tribunal de première instance ayant clos la procédure (art. 398 al. 1 CPP), l’appel de K.________ est recevable. L’appel relève de la procédure écrite dès lors que les parties y ont consenti et que la présence du prévenu aux débats d’appel n’est pas indispensable (art. 406 al. 2 let. 2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2.2</w:t>
      </w:r>
    </w:p>
    <w:p>
      <w:r>
        <w:t>; ATF 138 IV 120 précité consid. 5.2). Si les sanctions envisagées concrètement ne sont pas du même genre, elles doivent être prononcées cumulativement (ATF 144 IV 313 précité consid. 1.1 ; ATF 142 IV 265 précité consid. 2.3.2 ; ATF 138 IV 120 précité consid. 5.2 ; ATF 137 IV 57 consid. 4.3.1). La peine privative de liberté et la peine pécuniaire ne sont pas des sanctions du même genre (ATF 144 IV 313 précité consid. 1.1 ; ATF 144 IV 217 précité consid. 2.2).</w:t>
      </w:r>
    </w:p>
    <w:p>
      <w:r>
        <w:rPr>
          <w:b/>
        </w:rPr>
        <w:t>E. 3.1</w:t>
      </w:r>
    </w:p>
    <w:p>
      <w:r>
        <w:t>L’appelant conteste tout d’abord la qualification d’escroquerie retenue pour le cas 1, faute d’astuce. Il fait valoir qu’il a admis les faits et expliqué sa situation difficile lors d’un entretien avec son assistante sociale. Il soutient que le CSR s’est rendu compte qu’il avait transmis des documents modifiés et qu’il n’a donc pas tenté de cacher l’information relative au non-paiement de ses deux derniers loyers. Ayant remis ses relevés et autres documents permettant d’établir sa situation financière, le CSR aurait pu effectuer les vérifications nécessaires immédiatement et sans difficulté, à savoir sans être dupé par la tentative de l’appelant de justifier l’absence de paiement de loyer. L’appelant fait encore valoir qu’il n’avait pas encore reçu la décision lui accordant l’aide sociale ni perçu de prestations financières au moment de résilier son contrat de bail. Il en conclut que seul l’art. 148a CP devrait trouver application. En ce qui concerne la dissimulation de ses revenus en juillet et août 2019, l’appelant rappelle avoir admis les faits, tout en précisant qu’il ignorait devoir faire état des sommes en cause, avoir oublié d’annoncer son compte bancaire et ne pas avoir eu conscience de commettre une malversation, ce qui devrait conduire à sa libération du chef d’accusation d’escroquerie sur ce point. Il relève avoir annoncé l’existence de son compte d’épargne par la suite, ce qui démontrerait qu’il n’a pas réellement tenté de dissimuler ses revenus, sans quoi il n’aurait pas fourni les documents concernés au CSR.</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précité consid. 2.2.2 ; ATF 135 IV 76 précité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sa déclaration fiscale par exemple,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6B_1369/2019 du 22 janvier 2020 consid. 1.1.2 ; TF 6B_1255/2018 du 22 janvier 2019 consid. 1.1 ; TF 6B_117/2015 du 11 février 2016 consid. 23.2). Selon la jurisprudence du Tribunal fédéral (TF 6B_1042/2020 du 1 er décembre 2021 consid. 2.5 ; TF 6B_613/2020 du 17 septembre 2020 consid. 1.3 ; TF 6B_1086/2019 du 6 mai 2020 consid. 7.12), il y a concours parfait entre l'escroquerie et le faux dans les titres lorsque l'auteur utilise un faux pour commettre une escroquerie, puisque les biens juridiquement protégés sont différents. En effet, l'art. 146 CP protège le patrimoine, alors que l'art. 251 CP protège la confiance placée dans la validité des pièces (ATF 138 IV 209 consid. 5.5 ; ATF 129 IV 53 consid. 3), et cela même si le faux dans les titres a été commis dans le seul but de réaliser l'escroquerie (ATF 138 IV 209 précité consid. 5.5 ; TF 6B_772/2011 du 26 mars 2012 consid. 1.3 et la réf. cit.). Par ailleurs, l’utilisation d’un titre falsifié doit en principe conduire à admettre l’existence d’une tromperie astucieuse (cf. ATF 128 IV 18 consid. 3a et les réf. citées ; TF 6B_383/2019 et 6B_394/2019 du 8 novembre 2019 consid. 6.5.5.3 et les réf. citées).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6B_496/2015 du 6 avril 2016 consid. 2.2.3 ; TF 6B_99/2015 du 27 novembre 2015 consid. 3.4).</w:t>
      </w:r>
    </w:p>
    <w:p>
      <w:r>
        <w:rPr>
          <w:b/>
        </w:rPr>
        <w:t>E. 3.3</w:t>
      </w:r>
    </w:p>
    <w:p>
      <w:r>
        <w:t>En l’espèce, l’appelant se trompe lorsqu’il prétend avoir été transparent avec le CSR et qu’il affirme que ce Service aurait pu immédiatement se rendre compte de ses malversations. Il ne conteste pas avoir fourni un faux document pour abuser les services sociaux ni sa condamnation pour faux dans les titres à cet égard. Or, la confection du faux document et sa production – qui font présumer une tromperie astucieuse selon la jurisprudence précitée – démontrent que l’appelant a parfaitement compris le gain qu’il pouvait réaliser par rapport à l’aide financière à laquelle il aurait normalement dû avoir droit. Les efforts méticuleux déployés par l’appelant et le temps qu’il a consacré à dissimuler la réalité de sa situation étaient propres à duper les services sociaux, sans que l’on puisse leur reprocher un quelconque défaut de vigilance. La condition de l’astuce est ainsi réalisée. Il est également relevé que l’appelant avait la possibilité de renoncer à son projet de tromper les services sociaux jusqu’au moment où les prestations financières litigieuses lui ont été versées. Il n’en a rien fait, de sorte que l’infraction est entièrement consommée. Le fait qu’il ait par la suite dissimulé l’existence de son compte d’épargne sur lequel il percevait ses salaires démontre qu’il entendait inscrire ses agissements illicites sur la durée. Du reste, le choix de l’appelant de faire verser son salaire sur un compte d’épargne n’est pas innocent sous l’angle des manœuvres de dissimulation mises en œuvre. Il faut donc apprécier le comportement de l’appelant dans son ensemble, sans chercher à en distinguer les différentes composantes pour les qualifier séparément. Les actes perpétrés par l’appelant procèdent tous de la même intention de départ. Enfin, l’appelant ne saurait se dissimuler derrière un prétendu manque de connaissance sur son devoir d’information vis-à-vis des services sociaux au vu des formulaires précis qu’il a dû remplir et des avertissements exprès qui y figurent en cas de manquement, en particulier sur le plan pénal, informations qui sont retranscrites juste au-dessus de sa signature (P. 5/2, p. 6 ; P. 5/11 ; P. 18). L’appelant a du reste parfaitement compris les exigences auxquelles il devait se soumettre puisque les comportements qui lui sont reprochés ont justement consisté à contourner ses obligations en la matière. Il a par conséquent toujours agi en parfaite connaissance de cause dans le but de tromper les services sociaux. Enfin, contrairement à ce que soutient l’appelant, on ne saurait considérer que le CSR aurait pu et dû se rendre compte de la situation en procédant à des vérifications. De telles vérifications n’étaient pas exigées par les circonstances vu le faux produit, les informations inexactes communiquées et la dissimulation d’un compte bancaire, ensemble de manœuvres destinées à contourner la vigilance de l’institution sociale. A cet égard, on rappellera que le CSR a demandé la preuve de paiement des trois derniers loyers, que l’appelant a alors fourni des informations erronées, ce qui confirme l’intention de tromper, et qu’en l’absence d’indices lui permettant de suspecter une modification du droit du bénéficiaire à bénéficier des prestations servies, l’autorité d’assistance n’a pas à procéder à des vérifications particulières (TF 6B_1221/2020 du 2 juin 2021 consid. 41.1.2 et les réf. citées). Quant aux aveux, ceux-ci n’entrent pas en considération au moment d’examiner les conditions d’applications de l’infraction, mais au stade de la fixation de la peine et de l’appréciation de la culpabilité (cf. infra consid. 5.3). Au vu de ce qui précède, les éléments constitutifs objectifs et subjectifs de l’escroquerie sont réalisés, de sorte que la condamnation de K.________ doit être confirmée.</w:t>
      </w:r>
    </w:p>
    <w:p>
      <w:r>
        <w:rPr>
          <w:b/>
        </w:rPr>
        <w:t>E. 4.1</w:t>
      </w:r>
    </w:p>
    <w:p>
      <w:r>
        <w:t>L’appelant conteste ensuite l’appréciation des faits du premier juge relative à la conduite sans permis et la qualification qui s’y rapporte. Admettant que son permis de conduire a été saisi par la police ensuite de son interpellation le 25 décembre 2021, il fait valoir que la décision du SAN du 28 janvier 2022, lui retirant à titre préventif et avec effet rétroactif son permis de conduire, ne lui a été notifiée que le 2 février 2022, et qu’il n’en avait par conséquent pas connaissance lors des faits survenus le 31 janvier 2022. L’appelant fonde son raisonnement sur un arrêt rendu le 18 mars 2014 par le Tribunal fédéral (TF 6B_81/2014 consid. 1.3). Ainsi, faute de notification de la décision de retrait de permis de conduire, aucune condamnation pour conduite sous retrait ne saurait intervenir. Les faits dénoncés seraient par conséquent uniquement constitutifs de violation simple des règles de la circulation routière pour avoir franchi la ligne de sécurité sans avoir gêné d’autres usagers ainsi que de violation de l’art. 99 al. 1 let. b LCR (loi fédérale sur la circulation routière ; RS 741.01) pour ne pas avoir été porteur du permis de circulation du véhicule, contraventions qui ne peuvent être sanctionnées que d’une amende.</w:t>
      </w:r>
    </w:p>
    <w:p>
      <w:r>
        <w:rPr>
          <w:b/>
        </w:rPr>
        <w:t>E. 4.2</w:t>
      </w:r>
    </w:p>
    <w:p>
      <w:r>
        <w:t>En l’espèce, l’appelant se méprend lorsqu’il prétend que la jurisprudence du Tribunal fédéral qu’il a invoquée dans son appel devrait lui être appliquée. En effet, sa situation n’est pas comparable, puisqu’il a fait l’objet d’une saisie immédiate de son permis de conduire par les policiers qui l’ont interpellé. La saisie sur-le-champ du permis de conduire par la police aux conditions de l’art. 38 al. 1 et 2 OAC (ordonnance réglant l'admission des personnes et des véhicules à la circulation routière ; RS 741.51) doit être assimilée à un retrait de permis, dans la mesure où l’art. 54 al. 5 LCR prévoit que la saisie immédiate opérée par la police a les mêmes effets qu’un retrait du permis, jusqu’à décision de l’autorité (Jeanneret, Les dispositions pénales de la loi sur la circulation routière, Berne 2007, n. 73 ad art. 95 LCR). Or, l’appelant ne conteste pas, à raison, les motifs ni les conditions dans lesquelles son permis de conduire a été saisi par la police en décembre 2021. Il faut par conséquent en conclure qu’il faisait bel et bien l’objet d’un retrait de permis – du reste confirmé par la suite et rétroactivement par l’autorité administrative – lorsqu’il était au volant du véhicule automobile de sa mère le 31 janvier 2022. Partant, l’affirmation de l’appelant selon laquelle celui-ci ignorait qu’il n’était pas en droit de conduire tombe à faux. Le grief formulé par l’appelant doit être rejeté et le jugement confirmé sur ce point également.</w:t>
      </w:r>
    </w:p>
    <w:p>
      <w:r>
        <w:rPr>
          <w:b/>
        </w:rPr>
        <w:t>E. 5.1</w:t>
      </w:r>
    </w:p>
    <w:p>
      <w:r>
        <w:t>L’appelant conteste encore la quotité de la peine qui lui a été infligée. Il fait valoir le temps écoulé depuis la commission des infractions qui lui sont reprochées, avoir en grande partie remboursé les services sociaux, avoir admis les faits et exprimé des regrets. Il rappelle également être au bénéfice d’un contrat de travail comme logisticien-cariste à plein temps pour une durée indéterminée, une peine privative de liberté ferme étant susceptible de ruiner tous ses efforts de réinsertion.</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réf. citées).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w:t>
      </w:r>
    </w:p>
    <w:p>
      <w:r>
        <w:rPr>
          <w:b/>
        </w:rPr>
        <w:t>E. 5.2.3</w:t>
      </w:r>
    </w:p>
    <w:p>
      <w:r>
        <w:t>Selon l'art. 42 al. 1 CP, le juge suspend en règle générale l'exécution d'une peine pécuniaire ou d'une peine privative de liberté de deux ans au plus lorsqu'une peine ferme ne paraît pas nécessaire pour détourner l'auteur d'autres crimes ou délits. A teneur de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5.3</w:t>
      </w:r>
    </w:p>
    <w:p>
      <w:r>
        <w:t>En l’occurrence, au vu de sa posture en appel, l’appelant est encore dans le déni le plus complet, puisqu’il persiste à contester les principales infractions reprochées à son encontre. Ses regrets doivent par conséquent être fortement relativisés. Quant à sa situation personnelle, celle-ci n’a rien de particulier. L’appelant est Suisse, il est en bonne santé, il travaille et il a des dettes qu’il évalue entre 30’000 fr. et 35’000 francs. A l’instar du premier juge, il sera retenu que la culpabilité de l’appelant est importante. En effet, celui-ci a cinq antécédents, dont trois en matière de circulation routière, de sorte qu’il faut en conclure qu’il n’a tiré aucun enseignement de ses précédentes condamnations. Il a au demeurant conduit le véhicule de sa mère le 31 janvier 2022, soit à peine un mois après la saisie de son permis conduire (cas 2). S’agissant des infractions mentionnées au chiffre 1 de l’acte d’accusation, l’appelant a caché la résiliation de son bail pendant plusieurs mois et même produit un faux document. A décharge, il faudra tenir compte de ses aveux, mais dans une mesure limitée, dès lors que l’appelant conteste toujours les infractions les plus graves auxquelles il est condamné. Quant à l’écoulement du temps, il n’est pas particulièrement important. S’agissant enfin de l’effet de la peine sur la situation professionnelle de l’appelant, il lui sera loisible de requérir en temps voulu auprès de l’Office d’exécution des peines des modalités alternatives d’exécution de peine, compte tenu de la quotité qui sera infligée, ce pour autant qu’il conserve un emploi. Au regard des antécédents et pour des motifs de prévention spéciale, c’est à raison que le premier juge a considéré que seule une courte peine privative de liberté entrait en ligne de compte pour réprimer les délits commis par l’appelant, les précédentes peines pécuniaires n’ayant eu aucun effet dissuasif sur celui-ci. Sur la base de ce qui précède, l’infraction d’escroquerie, qui constitue l’infraction principale, doit être réprimée par une peine privative de liberté de 3 mois. Conformément au principe d’aggravation découlant du concours d’infractions, cette peine sera majorée d’1 mois pour réprimer l’infraction de faux dans les titres et de 2 mois pour réprimer la conduite malgré un retrait du permis de conduire, ce qui donne un total de 6 mois de peine privative de liberté. Toutefois, en tant que l’autorité de céans est liée par le principe de l’interdiction de la reformatio in pejus , la peine privative de liberté de 90 jours doit être confirmée. Par ailleurs, au vu de la culpabilité de l’appelant à cet égard et de sa situation financière, l’amende à hauteur de 200 fr. sera également confirmée pour réprimer les deux contraventions commises (150 fr. [art. 90 al. 1 LCR] + 50 fr. [art. 96 al. 1 let. a LCR]), amende qui sera convertie en 2 jours de peine privative de liberté de substitution en cas de non-paiement. Enfin, l’octroi du sursis a été valablement refusé à l’appelant, le pronostic étant manifestement défavorable, compte tenu de ses antécédents, de la récidive spéciale en matière de LCR et de l’absence de prise de conscience de la gravité des infractions commises qu’il persiste à contester en dépit du temps écoulé.</w:t>
      </w:r>
    </w:p>
    <w:p>
      <w:r>
        <w:rPr>
          <w:b/>
        </w:rPr>
        <w:t>E. 6</w:t>
      </w:r>
    </w:p>
    <w:p>
      <w:r>
        <w:t>En définitive, l’appel de K.________ doit être rejeté et le jugement entrepris confirmé. L’indemnité doit être arrêtée sur la base de la liste d’opérations produite le 5 mai 2023. Une indemnité de défenseur d’office d’un montant arrondi de 1’879 fr., débours et TVA inclus, sera allouée à Me Luisa Bottarelli pour la procédure d’appel, correspondant à 9 heures et 30 minutes d’activité d’avocat au tarif horaire de 180 fr., par 1’710 fr., et à des débours forfaitaires à concurrence de 2 % des honoraires admis, par 34 fr. 20, plus la TVA au taux de 7,7 %, par 134 fr. 30. Vu l’issue de la cause, les frais de la procédure d’appel, par 3’639 fr., constitués de l’émolument du présent jugement, par 1’760 fr. (art. 21 al. 1 TFIP [tarif des frais de procédure et indemnités en matière pénale du 28 septembre 2010 ; BLV 312.03.1]), et de l’indemnité précitée (art. 422 al. 2 let. a CPP), seront mis à la charge de K.________. L’appelant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