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389 vom 18. April 2023</w:t>
      </w:r>
    </w:p>
    <w:p>
      <w:r>
        <w:t>VD Tribunal cantonal, 2023-04-18, FR</w:t>
      </w:r>
    </w:p>
    <w:p>
      <w:r>
        <w:rPr>
          <w:b/>
        </w:rPr>
        <w:t xml:space="preserve">Quelle: </w:t>
      </w:r>
      <w:r>
        <w:t>https://mcp.opencaselaw.ch/entscheid/vd_findinfo_Jug___2023___389</w:t>
      </w:r>
    </w:p>
    <w:p>
      <w:r>
        <w:t>FR: VD_FINDINFO Jug / 2023 / 389 du 18 avril 2023</w:t>
      </w:r>
    </w:p>
    <w:p>
      <w:r>
        <w:t>IT: VD_FINDINFO Jug / 2023 / 389 del 18 aprile 2023</w:t>
      </w:r>
    </w:p>
    <w:p>
      <w:pPr>
        <w:pStyle w:val="Heading2"/>
      </w:pPr>
      <w:r>
        <w:t>Regeste</w:t>
      </w:r>
    </w:p>
    <w:p>
      <w:r>
        <w:t>CONSOMMATION DE STUPÉFIANTS, BLANCHIMENT D'ARGENT, LOI FÉDÉRALE SUR LES STUPÉFIANTS ET LES SUBSTANCES PSYCHOTROPES | 305bis CP, 66a al. 1 let. o CP, 19 al. 1 LStup, 19 ch. 2 LStup, 19a ch. 1 LStup, 115 al. 1 let. a LEI, 115 al. 1 let. b LEI</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3</w:t>
      </w:r>
    </w:p>
    <w:p>
      <w:r>
        <w:t>L’appelant conteste l'étendue du trafic qui lui est reprochée, n’admettant que la vente de 64 boulettes au total, à S.________, N.________, H.________ et P.________. Selon lui, les premiers juges auraient violé le principe « in dubio pro reo » en ne précisant pas sur quelles preuves ou sur la base de quel raisonnement ils s’étaient fondés pour retenir le montant de 41'885 fr. comme constituant le bénéfice d’un trafic. L’appelant souligne, s'agissant des montants envoyés en Afrique, que le montant de 41'885 fr. ne correspond pas à celui ressortant des listes de transactions versées au dossier (P. 38, 39 et 44). Il relève que le rapport de police, sur la base des auditions des « clients », estime le chiffre d'affaires minimal réalisé par l'appelant à un montant de 43'280 fr. (P. 27/1, p. 15 et P. 27/2). L'acte d'accusation décrit quant à lui un montant de 41'890 francs. Pour l'appelant, il ne serait pas possible de comprendre comment le Tribunal correctionnel a déterminé le montant de 41'885 fr. finalement retenu. Pour lui, ce montant n'est d'ailleurs pas relevant en ce qui concerne l'établissement de l'étendue des ventes de drogue, puisqu'il considère que le dossier ne permet pas d'exclure que l'appelant ait constitué des économies grâce à ses emplois en Italie. L'appelant relève encore que selon le rapport d'investigation, les cinq personnes le mettant en cause lui auraient acheté entre 487 et 653 boulettes (P. 27/2). Les inspecteurs retiennent sur cette base des quantités de vente comprises entre 163.6 grammes et 219.4 grammes (P. 27/1, p. 15). Ici aussi, il ne serait pas possible de déterminer pourquoi le tribunal correctionnel se serait distancé de ces conclusions pour retenir une quantité nette de 486,5 grammes.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[ci-après : CR CPP],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rPr>
          <w:b/>
        </w:rPr>
        <w:t>E. 3.2.1</w:t>
      </w:r>
    </w:p>
    <w:p>
      <w:r>
        <w:t>En l'espèce, le tribunal correctionnel retient que l'appelant a vendu 1'396 grammes bruts de cocaïne. Il fonde sa conviction sur deux éléments principaux, à savoir le montant de 41'885 fr. envoyé à des tiers entre 2016 et fin 2020 et les mises en causes de cinq clients (jgmt, consid. 2.1, bb, p.19). Cette appréciation ne prête pas le flanc à la critique et doit être confirmée. L'acte d'accusation du 8 mars 2023 précise que l'ampleur du trafic n'a pas pu être déterminée avec précision et retient que D.________ a réalisé sur le trafic un bénéfice minimum de 41'890 francs (cf. chiffre 1 de l’acte d’accusation). Cette somme correspond en réalité au montant arrondi de l'argent envoyé par l'intéressé à l'étranger, notamment en Gambie, soit 41'887 fr. 46, entre le 2 janvier 2016 et le 27 novembre 2020 (cf. chiffre 2 de l’acte d’accusation). Le tribunal correctionnel évoque un montant "totalisant environ 41'885 francs" (jgmt, p. 19), arrondissant de manière manifestement plus favorable à l’appelant le montant indiqué dans l’acte d’accusation. Ainsi, tant le Ministère public que le tribunal correctionnel se sont appuyés sur l'argent envoyé à l'étranger en partant de la prémisse que l'intégralité des fonds envoyés à l’étranger constituait des revenus de l'intéressé provenant de son trafic. A cet égard, et comme les premiers juges, la Cour de céans considère que l’appelant n’est pas crédible lorsqu’il soutient qu'une partie du montant envoyé à l'étranger proviendrait de ses économies, respectivement de ses revenus licites en Italie. En effet, les pièces émanant des instituts de transfert d'argent démontrent que l’appelant séjournait régulièrement, voire de manière systématique, en Suisse durant de nombreuses années et qu'il envoyait régulièrement de l'argent à ses proches ou à des tiers à l'étranger. Ses déclarations sur la provenance des fonds sont contraires — outre qu'elles ont varié tout au long de la procédure — à celles faites en 2015 lorsqu'il a été condamné une première fois pour infraction à la loi fédérale sur les stupéfiants (PV aud. 12). L'appelant n'a pas fourni la moindre explication crédible sur le fait qu'il aurait pu avoir des emplois en Italie ou des économies lui permettant de faire de tels transfert. A la lecture des auditions, on s'aperçoit que l'appelant ne donne aucun élément tangible laissant penser qu'il ait pu effectivement travailler en Suisse ou même en Italie. Ses déclarations sont peu claires, peu précises et ne convainquent pas. Il n'explique pas non plus de manière crédible sa présence en Suisse et on voit mal comment il aurait pu épargner de telles sommes, ce d'autant plus qu'il fallait encore disposer de moyens pour subsister à côté. Le raisonnement des premiers juges est ainsi parfaitement adéquat et doit être confirmé. Faute de revenus légaux tant en Suisse qu'en Italie, force est de retenir que c'est bien exclusivement le produit de son trafic de stupéfiants que l’appelant a envoyé à l'étranger entre 2016 et fin 2020. On relève en outre que compte tenu des mises en cause de cinq personnes différentes, le trafic qui est reproché à l’appelant s'étend entre 2016 et le 9 février 2022, soit sur une période plus longue que celle couverte par l'envoi d'argent. Un calcul opéré sur la base des transferts établis, qui s'arrêtent en novembre 2020, est donc également favorable à l’appelant.</w:t>
      </w:r>
    </w:p>
    <w:p>
      <w:r>
        <w:rPr>
          <w:b/>
        </w:rPr>
        <w:t>E. 3.2.2</w:t>
      </w:r>
    </w:p>
    <w:p>
      <w:r>
        <w:t>S’agissant des montants envoyés en Afrique, il existe en effet une différence de 2 fr. 50 entre le montant de 41'885 fr. retenu par les premiers juges sur la base de l’acte d’accusation (cf. chiffre 2 de l'acte d'accusation) et celui ressortant des listes de transactions versées au dossier (P. 38, 39 et 44). En partant de la prémisse que l'intégralité des revenus envoyés par l'appelant à l'étranger provient de son trafic, soit 41'887 fr. 46, entre le 2 janvier 2016 et le 27 novembre 2020 (PV aud. 8, PV aud. 10 à 13 ; P. 38, 39 et 44), l'acte d'accusation retient un bénéfice minimum de 30 fr. par boulette de 1 gramme brut de cocaïne, à savoir un bénéfice minimum favorable au prévenu, le trafic de stupéfiant étant notoirement rémunérateur. Le prévenu a ainsi vendu, durant la période considérée, une quantité minimale de 1396 boulettes de cocaïne d'un gramme brut de cocaïne (41'885/30=1'396.16). Les taux de pureté moyenne de la cocaïne pour l'année 2016 à 2022, pour des quantités de moins d'un gramme brut, étant de 34.85%, il a été retenu que D.________ a vendu, entre 2016 et le 9 février 2022, une quantité minimale de 486,5 grammes purs de cocaïne. C'est cette quantité de cocaïne nette que le tribunal correctionnel a retenu à la charge de D.________. Il n'est pas étonnant que le rapport de police, sur la base des auditions des clients estime un chiffre d'affaires minimal de 43'280 fr. réalisé par l'appelant (P. 27/1, p. 15 et P. 27/2) puisqu'il s'agit d'un chiffre d'affaires et non du bénéfice, sur la base de cinq mises en cause et que l'intégralité du trafic (ou du bénéfice) n'est pas couvert par ces ventes. Le tribunal correctionnel a toutefois considéré que ces mises en cause corroboraient la quantité déterminée comme expliqué ci-dessus ainsi que les périodes auxquelles D.________ s'était adonné à la vente de cocaïne. A nouveau, le bénéfice déterminé s'arrête en 2020 alors que les mises en cause s’étendent jusqu'à son interpellation en 2022. Il y avait donc forcément d'autres clients et d'autres ventes. Compte tenu de l’ensemble des éléments qui précèdent, les premiers juges pouvaient retenir sans violation du principe « in dubio pro reo » en retenant que l’appelant avait envoyé en Afrique le montant de 41'885 fr. provenant de son trafic de cocaïne portant sur une quantité de 1'396 grammes bruts.</w:t>
      </w:r>
    </w:p>
    <w:p>
      <w:r>
        <w:rPr>
          <w:b/>
        </w:rPr>
        <w:t>E. 4</w:t>
      </w:r>
    </w:p>
    <w:p>
      <w:r>
        <w:t>L’appelant conteste ensuite sa condamnation pour blanchiment d'argent, faute de description suffisante du crime préalable dans le jugement entrepris. Il évoque une violation de la maxime d'accusation.</w:t>
      </w:r>
    </w:p>
    <w:p>
      <w:r>
        <w:rPr>
          <w:b/>
        </w:rPr>
        <w:t>E. 4.1.1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143 IV 63 consid. 2.2 ; TF 6B_1498/2020 du 29 novembre 2021 consid. 2.4).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6B_172/2022 du 31 octobre 2022 consid. 3.1).</w:t>
      </w:r>
    </w:p>
    <w:p>
      <w:r>
        <w:rPr>
          <w:b/>
        </w:rPr>
        <w:t>E. 4.1.2</w:t>
      </w:r>
    </w:p>
    <w:p>
      <w:r>
        <w:t>L'art. 305bis ch. 1 CP réprime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6B_216/2021 du 16 février 2022 consid. 2.1 ; TF 6B_1118/2021 du 17 novembre 2021 consid. 2.2).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6B_216/2021 précité ; TF 6B_367/2020 du 17 janvier 2022 consid. 12.1 ; TF 6B_261/2020 du 10 juin 2020 consid. 5.1). Le phénomène appelé "money mule"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(définition tirée du rapport "Jugements prononcés en Suisse en matière de blanchiment d'argent", publié en 2008 par l'Office fédéral de la police). L'intermédiaire se livrant à ce type d'activité peut se voir reprocher, par dol éventuel, d'avoir commis un blanchiment d'argent, s'il aurait dû envisager, en fonction des circonstances, que l'argent reçu et transmis pouvait provenir de sources délictueuses. La doctrine relève à cet égard les éléments suivants, susceptibles d'entrer en considération pour déterminer si l'infraction de blanchiment d'argent a été commise intentionnellement, soit à tout le moins par dol éventuel : crédibilité et sophistication des explications amenant l’agent financier « à mettre son compte bancaire à disposition d'un inconnu, à retirer l'argent et à le transférer en faveur d'un destinataire inconnu à l'étranger ; cohérence entre les explications fournies à ragent financier » et les montants crédités sur le compte bancaire de ce dernier ; ouverture d'un compte bancaire en son propre nom, sur demande de l’« employeur », pour exécuter des transactions présentées comme professionnelles ; possibilité de conserver une commission importante pour un travail présentant une charge dérisoire et n'exigeant généralement aucune formation préalable ni connaissance spécialisée ; envoi par la voie postale d'argent en espèces à un destinataire inconnu à l'étranger ; participation à d'autres actes utiles pour la commission de l'infraction préalable (p. ex. recrutement d'autres « agents financiers », création de comptes sur des sites de vente en ligne, publication d'annonces prérédigées pour vendre des appareils électroniques, etc.) ; actes de disposition de « l’agent financier » lésant son propre patrimoine ; blocage d'un compte par une banque et ouverture d'un autre compte pour procéder à de nouvelles transactions ; blocage des transferts par un prestataire de services de paiement et utilisation d'une société concurrente ; questions et/ou avertissements des employés des prestataires de services de paiement ou de banque (exemples cités par Burgener, in Money mule, le chaînon indispensable de la criminalité informatique, Plaidoyer 6/2019).</w:t>
      </w:r>
    </w:p>
    <w:p>
      <w:r>
        <w:rPr>
          <w:b/>
        </w:rPr>
        <w:t>E. 4.2.1</w:t>
      </w:r>
    </w:p>
    <w:p>
      <w:r>
        <w:t>En l’espèce, et c ontrairement à ce que soutient l'appelant, l'acte d'accusation ne se contente de dire que la provenance de l'argent était illicite, mais précise expressément, à son chiffre 5, que « l'argent provenait d'escroqueries ». Le rapport de police (P. 4) ainsi que les auditions en cours d'enquête évoquent que l'argent provient d'escroqueries sur internet dont les auteurs sont très probablement originaires d'Afrique de l'Ouest. T.________ a été condamné pour blanchiment également sur ces faits et sa condamnation figure au dossier (P. 67/2). On constate ainsi que la qualification juridique du crime préalable ressort expressément de l'acte d'accusation et de l'enquête et que la description des faits qui y était contenue permettait à l'appelant, assisté d'un défenseur, de comprendre que les valeurs patrimoniales reçues sur le compte de T.________ à sa demande provenaient, selon le ministère public, d'une infraction contre le patrimoine, soit en l'occurrence d'une escroquerie (art. 146 CP), infraction qui constitue un crime au sens de l'art. 10 al. 2 CP. Les termes utilisés étaient en effet suffisamment clairs pour en déduire que l'infraction préalable avait trait à la mise en œuvre de tromperies opérées sur des sites internet. Dès lors que la preuve stricte du crime préalable n'est pas requise, il n'était pas nécessaire que l'acte d'accusation le décrive plus précisément, l'appelant ayant suffisamment été informé sur les circonstances permettant de déduire qu'aux yeux du ministère public, les valeurs patrimoniales reçues avaient une origine criminelle. A cet égard, l’appelant ne prétend d'ailleurs pas avoir été empêché de préparer utilement sa défense.</w:t>
      </w:r>
    </w:p>
    <w:p>
      <w:r>
        <w:rPr>
          <w:b/>
        </w:rPr>
        <w:t>E. 4.2.2</w:t>
      </w:r>
    </w:p>
    <w:p>
      <w:r>
        <w:t>En l'occurrence, l’appelant ne conteste pas avoir servi d'intermédiaire entre T.________ et U.________, agissant à la demande du dernier nommé. Aux débats, l’appelant a déclaré ne pas savoir quelle était la provenance de l'argent (cf. jgmt, p. 9). T.________ retirait l'argent reçu sur son compte et le remettait en main propre à l’appelant. On s'aperçoit que les personnes ayant versé de l'argent habitaient presque toutes en Suisse. On ne comprend pas l'utilité d'un tel montage pour de l'argent qui aurait été licite. En l'occurrence, la provenance douteuse des fonds ne pouvait échapper à l’appelant qui – aux débats d’appel – a admis à demi-mot s’être douté de quelque chose. Il n'a donné aucune explication sur les fonds remis à U.________, qui sont très importants. On parle de 55'219 fr. 25 (P. 67). L'appelant s'est vu remettre et a remis cet argent en plusieurs fois. Il l'encaissait de T.________ et le transmettait à U.________ souvent dans la rue ou des parcs. Pour ce service, c'est lui qui payait T.________ en lui remettant une petite boulette de cocaïne lors de chaque transaction. L'appelant a donc agi à réitérées reprises, de façon méthodique et organisée. On n’est dès lors pas face à un acte isolé qui permettrait de croire à la théorie d’un dépannage par amitié ou d’une instrumentalisation de l’appelant. Il apparaît clairement que l'appelant a déployé de l'énergie pour jouer son rôle d'intermédiaire et faire suivre l'argent encaissé sur le compte. Les opérations réalisées n’ont pas de justification si les fonds étaient licites. L’appelant a en réalité cherché un titulaire de compte en toute connaissance de cause pour encaisser de l'argent et le transférer plus loin, certainement en Afrique (PV aud. 1, p. 4). Il ne pouvait ignorer qu'il s'agissait de fonds douteux. T.________ pensait lui-même qu'il s'agissait d'argent de la drogue (PV aud. 1, p. 6). L’appelant parle de T.________ comme d'un ami (PV aud. 3, p. 7). On réalise en réalité qu'il était son dealer. Il s'est fait remettre des sommes importantes reçues par le biais d'un intermédiaire rémunéré par boulettes de cocaïne, puis a remis ces fonds à un individu sans activité ou du moins qui n'explique pas son activité en relation avec ces fonds. Il n'aurait jamais cherché à recueillir la moindre information sur les expéditeurs des fonds. Il n'y a aucune logique (économique ou autre) à recourir à un tel système alors que les personnes qui ont expédiés les fonds auraient tout aussi bien pu les transférer en mains du destinataire qui était en Suisse et qui avait accès aux mêmes services financiers et bancaires que T.________. En encaissant à plusieurs reprises des fonds qui ne lui appartenaient pas, soustrayant ces fonds à toute perspective de confiscation et faisant obstacle à l'identification des destinataires de ces versements, l’appelant s'est ainsi bien rendu coupable de blanchiment d'argent à tout le moins par dol éventuel.</w:t>
      </w:r>
    </w:p>
    <w:p>
      <w:r>
        <w:rPr>
          <w:b/>
        </w:rPr>
        <w:t>E. 5</w:t>
      </w:r>
    </w:p>
    <w:p>
      <w:r>
        <w:t>L'appelant remet en question la quotité de la peine prononcée à son encontre, à savoir une peine privative de liberté de 4 ans. Se fondant sur la prémisse de l’admission de son appel s’agissant de l’ampleur du trafic qui lui est imputé, limitée à une quantité de 163.6 grammes, il estime qu'une peine privative de liberté de 18 mois au maximum devrait lui être infligée pour l’ensemble des infractions retenues à son encontre.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5.2</w:t>
      </w:r>
    </w:p>
    <w:p>
      <w:r>
        <w:t>En l’espèce, la culpabilité de l’appelant est intégralement confirmée, de sorte qu’il doit être condamné pour blanchiment d’argent, infraction grave et contravention à la loi fédérale sur les stupéfiants et infraction à la loi fédérale sur les étrangers et l’intégration. Les premiers juges ont retenu que sa culpabilité était lourde. Durant de nombreuses années, l’appelant a œuvré à large échelle comme dealer de rue, étant décrit par ses clients comme disponible. L’activité a été de longue durée et régulière. L’appelant a agi par pur appât du gain n’étant pas consommateur de cocaïne. Alors qu’il est titulaire d’une autorisation de séjour en Italie, il a préféré vendre de la drogue en grande quantité, cette activité étant manifestement plus lucrative que celle qu’il aurait pu avoir en travaillant légalement en Italie. Seule son arrestation a mis fin à ses activités délictueuses, dont on relèvera qu’elles sont variées. Les antécédents, le concours d’infractions et un comportement en détention mitigé ont également été retenus à charge. A décharge, les premiers juges ont pris en compte le fait que l’appelant avait régulièrement envoyé de l’argent, certes illicite, pour soutenir sa famille en Afrique (cf. jgmt, pp. 24-25). Cette appréciation est conforme aux principes applicables en matière de fixation de la peine, les éléments à charge et à décharge ayant été correctement pris en considération. L’infraction la plus grave, soit le trafic de cocaïne, doit être sanctionné de 36 mois. Par l’effet du concours, il y a lieu d’ajouter 10 mois pour le blanchiment d’argent et enfin 2 mois pour sanctionner le séjour illégal. On obtient ainsi une peine privative de liberté d’ensemble de 48 mois, soit quatre ans. L’amende de 100 fr. prononcée pour sanctionner la contravention commise, au demeurant non contestée, doit être également confirmée.</w:t>
      </w:r>
    </w:p>
    <w:p>
      <w:r>
        <w:rPr>
          <w:b/>
        </w:rPr>
        <w:t>E. 6</w:t>
      </w:r>
    </w:p>
    <w:p>
      <w:r>
        <w:t>Conformément à l’art. 51 CP, la détention subie depuis le jugement de première instance sera déduite de la peine privative de liberté prononcée. Au vu de la quotité de la peine infligée, le maintien de D.________ en exécution anticipée de peine doit être ordonné, afin de garantir l’exécution de la peine.</w:t>
      </w:r>
    </w:p>
    <w:p>
      <w:r>
        <w:rPr>
          <w:b/>
        </w:rPr>
        <w:t>E. 7</w:t>
      </w:r>
    </w:p>
    <w:p>
      <w:r>
        <w:t>L’expulsion de l’appelant du territoire suisse pour une durée de 12 ans, qui n’est au demeurant pas contestée, doit être confirmée compte tenu des infractions commises, étant précisé que l’appelant n’a aucune attache en Suisse.</w:t>
      </w:r>
    </w:p>
    <w:p>
      <w:r>
        <w:rPr>
          <w:b/>
        </w:rPr>
        <w:t>E. 8</w:t>
      </w:r>
    </w:p>
    <w:p>
      <w:r>
        <w:t>En définitive, l’appel de D.________ doit être rejeté et le jugement entrepris intégralement confirmé. Il n’y a pas lieu de s’écarter de la liste des opérations produite par Me Xavier de Haller, défenseur d’office de D.________, qui fait état de 16.4 heures d’activité d’avocat (P. 95). Au tarif horaire de 180 fr. qui s’applique pour les avocats (cf. art. 2 al. 1 let. a RAJ [règlement sur l’assistance judiciaire en matière civile ; BLV 211.02.3]), les honoraires du conseil d’office s’élèvent à 2'952 fr., auxquels s’ajoutent des débours forfaitaires de 2 %, par 59 fr. 05, une vacation forfaitaire de 120 fr. et la TVA à 7,7% sur le tout, par 241 fr. 10, soit une indemnité d’office totale de 3'372 fr. 15. Vu l'issue de la cause, les frais de la procédure d'appel, par 6'272 fr. 15, constitués de l'émolument du présent jugement, par 2’900 fr. (art. 21 al. 1 et 2 TFIP), ainsi que de l’indemnité allouée à son défenseur d’office, par 3'372 fr. 15, seront mis à la charge de l’appelant, qui succombe (art. 428 al. 1 CPP). D.________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