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375 vom 18. Oktober 2021</w:t>
      </w:r>
    </w:p>
    <w:p>
      <w:r>
        <w:t>VD Tribunal cantonal, 2021-10-18, FR</w:t>
      </w:r>
    </w:p>
    <w:p>
      <w:r>
        <w:rPr>
          <w:b/>
        </w:rPr>
        <w:t xml:space="preserve">Quelle: </w:t>
      </w:r>
      <w:r>
        <w:t>https://mcp.opencaselaw.ch/entscheid/vd_findinfo_Jug___2023___375</w:t>
      </w:r>
    </w:p>
    <w:p>
      <w:r>
        <w:t>FR: VD_FINDINFO Jug / 2023 / 375 du 18 octobre 2021</w:t>
      </w:r>
    </w:p>
    <w:p>
      <w:r>
        <w:t>IT: VD_FINDINFO Jug / 2023 / 375 del 18 ottobre 2021</w:t>
      </w:r>
    </w:p>
    <w:p>
      <w:pPr>
        <w:pStyle w:val="Heading2"/>
      </w:pPr>
      <w:r>
        <w:t>Regeste</w:t>
      </w:r>
    </w:p>
    <w:p>
      <w:r>
        <w:t>CAS GRAVE, COMMERCE DE STUPÉFIANTS, EXPULSION{DROIT PÉNAL}, PAR MÉTIER, PROCÉDURE ÉCRITE | 66a al. 1 let. o CP, 19 ch. 2 let. c LStup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let. a LStup ne pouvait pas être réalisé en présence de drogues dites « douces », telles celles dérivées du cannabis. Cela étant, en condamnant le recourant pour infraction grave selon l’art. 19 al. 2 let. c LStup, la cour cantonale n’avait pas exposé les raisons qui l’avaient amenée à retenir la circonstance aggravante du métier. En particulier, elle n’avait pas établi le chiffre d’affaires ou le gain réalisé par le recourant et la seule mention du fait que le recourant avait apporté en [...] des montants de 5'000 à 10'000 euros issus de son trafic n’était pas suffisante. X.________ soutient que le dossier n’apporte pas de preuve qu’il aurait réalisé un chiffre d’affaires supérieur à 100'000 fr. ou un gain supérieur à 10'000 francs. Il considère que l’indication contenue dans le jugement du 24 mai 2022 (consid. 4.1) selon laquelle il « aurait permis l’acheminement, en [...], de plusieurs centaines de milliers de francs et d’euros, à tout le moins des montants de 5'000 à 10'000 euros, voire le montant des transactions, ou aurait remis l’argent aux chauffeurs qui transportaient la marchandise » ne permet pas de déterminer le chiffre d’affaires, ni a fortiori le bénéfice réalisé. Dès lors que le cas grave de l’art. 19 al. 2 let. c LStup ne peut être retenu et que le cas simple de l’art. 19 al. 1 LStup ne constitue pas un crime, il estime que l’infraction de blanchiment d’argent ne peut pas non plus être retenue.</w:t>
      </w:r>
    </w:p>
    <w:p>
      <w:r>
        <w:rPr>
          <w:b/>
        </w:rPr>
        <w:t>E. 2.1</w:t>
      </w:r>
    </w:p>
    <w:p>
      <w:r>
        <w:t>Le Tribunal fédéral a retenu que le recourant avait bien participé à un trafic illégal de marijuana, et non de CBD comme il le prétendait, et qu’il savait qu’il participait à une telle activité délictueuse. En revanche, il a considéré qu’il ne pouvait pas être déduit de l’ATF 146 IV 326, selon lequel un trafic de cannabis de grande envergure pouvait compromettre la sécurité d’autrui au sens de l’art. 221 al. 1 let. c CPP, qu’un tel trafic serait à lui seul susceptible de réaliser un cas aggravé de l’art. 19 al. 2 LStup. A la différence de l’art. 19 al. 2 let. a LStup, l’art. 221 al. 1 let. c CPP n’exigeait pas que la santé de nombreuses personnes soit mise en danger, mais postulait uniquement que la sécurité d’autrui soit sérieusement compromise. Cette disposition avait un autre but, à savoir le maintien de la sécurité d’autrui, sans que cela ne mette en danger de nombreuses personnes. En d’autres termes, l’ATF 146 IV 326 ne modifiait pas la jurisprudence selon laquelle le cas aggravé de l’art. 19 al.</w:t>
      </w:r>
    </w:p>
    <w:p>
      <w:r>
        <w:rPr>
          <w:b/>
        </w:rPr>
        <w:t>E. 2.2</w:t>
      </w:r>
    </w:p>
    <w:p>
      <w:r>
        <w:t>Aux termes de l'art. 19 al. 2 let. c LStup, est passible d'une peine privative de liberté d'un an au moins celui qui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d’au minimum 100'000 fr. ou un gain d’au moins 10'000 fr. sont qualifiés d'importants (ATF 129 IV 253 consid. 2.2 ; ATF 129 IV 188 consid. 3.1). La durée de l'activité délictuelle ayant permis de réaliser le chiffre d'affaires n'est pas décisive pour déterminer si celui-ci est important, pas plus que l'importance proportionnelle du gain obtenu ; il est indifférent qu'un certain chiffre d'affaires ait été atteint sur une courte période d'intense activité ou sur une plus longue période d'activité moindre (ATF 129 IV 188 consid. 3.2).</w:t>
      </w:r>
    </w:p>
    <w:p>
      <w:r>
        <w:rPr>
          <w:b/>
        </w:rPr>
        <w:t>E. 2.3</w:t>
      </w:r>
    </w:p>
    <w:p>
      <w:r>
        <w:t>Il est établi qu’à tout le moins entre janvier et octobre 2018, l’intimé, en collaboration avec ses comparses T.________ et U.________, a organisé l’importation en Suisse d’au moins 145,75 kg de marijuana d’une valeur totale de 358'600 fr. et 179’100 euros (cf. supra, let. C, ch. 2.3). Le chiffre d’affaires réalisé est ainsi largement supérieur au seuil de 100'000 fr. requis par la jurisprudence. En outre, l’intimé a déployé une activité de grande envergure et de manière régulière sur une période de dix mois, ayant de la sorte exercé ses agissements coupables à la manière d’une profession. Vu ces éléments, X.________ doit être reconnu coupable d’infraction grave selon l’art. 19 al. 2 let. c LStup.</w:t>
      </w:r>
    </w:p>
    <w:p>
      <w:r>
        <w:rPr>
          <w:b/>
        </w:rPr>
        <w:t>E. 3</w:t>
      </w:r>
    </w:p>
    <w:p>
      <w:r>
        <w:t>février 2018 (P. 11, point 5.1.2 et PV aud. 8) ; 57'000 euros le 18 février 2018 (P. 11, point 5.1.3 et PV aud. 8) ; 50'000 fr. le 6 mai 2018 (P. 11, point 5.1.4 et PV aud. 8) et 39'000 euros les 16 et 17 septembre 2018 (P. 11, point 5.1.6 et PV aud. 8). Peu après la livraison du 18 février 2018, l’intimé s’est en outre rendu à [...] avec un montant de 5’000 à 10’000 euros (P. 11, point 5.1.3 et PV aud. 8, lignes 159-161). Il faut ainsi retenir que l’intimé a ramené l’argent de son trafic en [...], à tout le moins pour 5’000 à 10’000 euros. En revanche, contrairement à ce que soutient le Ministère public, il n’a pas agi au sein d’une organisation criminelle, lui-même et ses acolytes n’étant pas suffisamment organisés et n’ayant pas la structure nécessaire pour être qualifiée comme telle. Partant, X.________ doit être reconnu coupable de blanchiment d’argent simple (art. 305bis ch. 1 CP), l’appel du Ministère public étant partiellement admis sur ce point.</w:t>
      </w:r>
    </w:p>
    <w:p>
      <w:r>
        <w:rPr>
          <w:b/>
        </w:rPr>
        <w:t>E. 3.1</w:t>
      </w:r>
    </w:p>
    <w:p>
      <w:r>
        <w:t>Vu l’issue du recours, le Tribunal fédéral a retenu que les griefs développés en lien avec la condamnation pour blanchiment d’argent devenaient sans objet (consid. 4). Selon le Ministère public, l’intimé aurait permis l’acheminement, en [...], de plusieurs centaines de milliers de francs et d’euros, à tout le moins des montants de 5’000 à 10’000 euros, voire le montant des transactions (P. 11 ; PV aud. 2, 3, 4 et 8), ou aurait remis l’argent aux chauffeurs qui transportaient la marchandise. Il se serait ainsi rendu coupable de blanchiment d’argent qualifié dès lors que son rôle aurait consisté à gérer le paiement des importations de marijuana, et ce au sein d’un réseau organisé pour acheminer des quantités massives de stupéfiants.</w:t>
      </w:r>
    </w:p>
    <w:p>
      <w:r>
        <w:rPr>
          <w:b/>
        </w:rPr>
        <w:t>E. 3.2</w:t>
      </w:r>
    </w:p>
    <w:p>
      <w:r>
        <w:t>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L’aménagement d’une cachette dans une maison, un bureau ou un moyen de transport pour y déposer le butin est un acte d’entrave (Dupuis et alii, Petit commentaire, Code pénal, 2 e éd., Bâle 2019,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précité consid. 4.2.3.2 ; TF 6B_461/2018 du 24 janvier 2019 consid. 6.2 ;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w:t>
      </w:r>
    </w:p>
    <w:p>
      <w:r>
        <w:rPr>
          <w:b/>
        </w:rPr>
        <w:t>E. 3.3</w:t>
      </w:r>
    </w:p>
    <w:p>
      <w:r>
        <w:t>En l’espèce, il apparaît que le rôle de l’intimé a également consisté à gérer le paiement des importations de marijuana. A plusieurs reprises, il a amené l’argent en [...] ou remis l’argent des transactions aux chauffeurs qui transportaient la marchandise (PV aud. 8, lignes 144-145). Il a ainsi organisé l’importation en Suisse de marijuana pour : 51'000 fr. le 19 janvier 2018 (P. 11, point 5.1.1 et PV aud. 8) ; 83'100 euros le</w:t>
      </w:r>
    </w:p>
    <w:p>
      <w:r>
        <w:rPr>
          <w:b/>
        </w:rPr>
        <w:t>E. 4.1</w:t>
      </w:r>
    </w:p>
    <w:p>
      <w:r>
        <w:t>Le Ministère public conteste la quotité de la peine prononcée par le Tribunal correctionnel à l’encontre du prévenu. Pour le Parquet, la culpabilité de l’intimé est lourde et une peine pécuniaire de 15 jours-amende ne serait pas suffisante pour le sanctionner, dès lors qu’il a admis les faits tels que décrits au chiffre 2.2 de l’acte d’accusation (cf. supra let. C, ch. 2.4), soit d’avoir remis à tout le moins 205 g de kétamine à des tiers. A cet égard, se référant à la fiche compendium, il fait valoir que la peine serait étrangement clémente étant donné que les doses prescrites pour cette substance dans le domaine médical se calculeraient au maximum en dizaine de milligrammes et que la dose peut être létale dès 0,4 gramme. Le prévenu s’étant en outre rendu coupable de blanchiment d’argent et d’infraction grave à la LStup, le Ministère public requiert une peine privative de liberté de 36 mois, dont 9 mois ferme, sous déduction de 2 jours de détention avant jugement.</w:t>
      </w:r>
    </w:p>
    <w:p>
      <w:r>
        <w:rPr>
          <w:b/>
        </w:rPr>
        <w:t>E. 4.2.1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 ATF 142 IV 137 consid. 9.1, JdT 2016 I 169 ; ATF 141 IV 61 consid. 6.1.1 et les réf. ; TF 6B_631/2021 du 7 février 2022 consid. 1.1).</w:t>
      </w:r>
    </w:p>
    <w:p>
      <w:r>
        <w:rPr>
          <w:b/>
        </w:rPr>
        <w:t>E. 4.2.2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(ATF 138 IV 100 consid. 3.2 ; ATF 121 IV 193 consid. 2b/aa ; TF 6B_101/2021 du 22 décembre 2021 consid. 3.2 ; TF 6B_184/2021 du 16 décembre 2021 consid. 1.1 ; TF 6B_227/2020 du 29 avril 2020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précité et les réf.).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4.2.4</w:t>
      </w:r>
    </w:p>
    <w:p>
      <w:r>
        <w:t>Aux termes de l’art. 42 al. 1 CP, le juge suspend en règle générale l’exécution d’une peine pécuniaire ou d’une peine privative de liberté de deux ans au plus lorsqu’une peine ferme ne paraît pas nécessaire pour détourner l’auteur d’autres crimes ou délits. En vertu de l’art. 43 al. 1 CP, le juge peut suspendre partiellement l’exécution d’une peine privative de liberté d’un an au moins et de trois ans au plus afin de tenir compte de façon appropriée de la faute de l’auteur.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227 consid. 3.1.1). Selon la jurisprudence, les conditions subjectives auxquelles l’art. 42 CP soumet l’octroi du sursis intégral s’appliquent également à l’octroi du sursis partiel (ATF 139 IV 270 consid. 3.3).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d’un sursis (TF 6B_489/2021 du 11 mars 2022 consid. 1.1 ; TF 6B_261/2021 du 2 février 2022 consid. 3.1.1). Le juge doit par ailleurs motiver sa décision (cf. art. 50 CP) de manière à permettre de vérifier s’il a tenu compte de tous les éléments pertinents et comment ils ont été appréciés (ATF 135 IV 180 précité consid. 2.1 et les réf.). Dans l’émission du pronostic, le juge dispose d’un large pouvoir d’appréciation.</w:t>
      </w:r>
    </w:p>
    <w:p>
      <w:r>
        <w:rPr>
          <w:b/>
        </w:rPr>
        <w:t>E. 4.3</w:t>
      </w:r>
    </w:p>
    <w:p>
      <w:r>
        <w:t>En l’espèce, le prévenu a admis avoir fourni 55 g de kétamine à des tiers non identifiés et entre 150 et 200 g de cette drogue à [...], ce qui représente déjà une quantité importante, la dose létale étant de 0,4 g (PV aud. 1, lignes 89-98 ; PV aud. 6, R. 6 et R. 7 ; PV aud. 8, lignes 78-94 ; PV aud. 9, lignes 45-46). Par ailleurs, le prévenu a réalisé, à quelques reprises, un bénéfice de 5 fr. à 10 fr. par gramme (PV aud. 1 ; PV aud. 6, PV aud. 7 ; PV. aud. 8, lignes 79-81). De plus, en moins d’une année, il a importé au moins 145,75 kg de marijuana en Suisse. Il s’agissait d’un trafic avec des ramifications internationales, qui a mis en danger la santé de nombreuses personnes, seule son interpellation ayant permis de mettre un terme à ses agissements criminels, alors qu’il était en mesure de gagner honnêtement sa vie si l’on en croit son parcours professionnel. Au cours de l’audience d’appel, le prévenu n’a pas semblé avoir pris conscience de la gravité de ses actes, continuant à prétendre n’avoir joué aucun rôle. Il a certes déclaré qu’il ne consommait actuellement plus de kétamine, mais a reconnu qu’il en consommait encore en février 2022 à raison de 4 à 5 g par jour (jugement du 24 mai 2022, p. 3). Le prévenu a en outre évalué sa consommation de kétamine à 2 g par jour depuis 2013, soit en moyenne 60 g par mois (PV aud. 2, p. 8 ; jugement du 21 octobre 2021, pp. 15-16). Par conséquent, le prévenu, qui se déclare lui-même polytoxicomane depuis longtemps, consommant, outre de la kétamine, diverses substances telles que marijuana, cocaïne, MDMA ou encore des champignons hallucinogènes (jugement du 24 mai 2022, p. 5), paraît dès lors fortement exposé à la récidive. Ainsi, pour des motifs de prévention spéciale, le blanchiment d’argent, l’infraction grave et l’infraction simple à LStup doivent être punis d’une peine privative de liberté, sous réserve de la contravention à la LStup. L’infraction la plus grave à réprimer est celle d’infraction grave à la LStup (art. 19 al. 2 let. c LStup), de sorte que cette peine doit être déterminée en premier lieu. Les éléments rappelés ci-dessus justifient une peine privative de liberté de 24 mois pour sanctionner cette infraction. Par l’effet du concours (art. 49 al. 1 CP), cette peine doit être augmentée de six mois pour le blanchiment d’argent (art. 305bis ch. 1 CP) et de six mois pour l’infraction simple à la LStup (art. 19 al. 1 let. c LStup). La peine privative de liberté d’ensemble doit en conséquence être fixée à 36 mois. En ce qui concerne le sursis, il existe de nombreux éléments faisant craindre un risque élevé de récidive, à commencer par la polytoxicomanie du prévenu, ainsi que son absence de prise de conscience tant de l’illicéité que de la gravité de ses actes. Ainsi, il se justifie de prononcer une peine privative de liberté ferme de 9 mois, le sursis pouvant être accordé sur le solde portant sur 27 mois. La durée du délai d’épreuve assortissant le sursis sera fixée à trois ans. Pour le surplus, le Tribunal fédéral a retenu que l’intimé ne contestait pas la qualification juridique des faits retenus, respectivement que les conditions de l’infraction simple à la LStup selon l’art. 19 al. 1 let. b LStup étaient réalisées (consid. 2.7). Vu la situation personnelle du prévenu et les fautes commises, le montant l’amende de 300 fr. est justifié et sera confirmé. La conversion en une peine privative de liberté de 3 jours en cas de non-paiement fautif paraît adéquate et doit également être confirmée.</w:t>
      </w:r>
    </w:p>
    <w:p>
      <w:r>
        <w:rPr>
          <w:b/>
        </w:rPr>
        <w:t>E. 5.1</w:t>
      </w:r>
    </w:p>
    <w:p>
      <w:r>
        <w:t>Vu l’issue du recours, le Tribunal fédéral a retenu que les griefs développés en lien avec l’expulsion obligatoire devenaient sans objet (consid. 4). Le Ministère public conclut à l’expulsion du territoire suisse de l’intimé pour une durée de huit ans.</w:t>
      </w:r>
    </w:p>
    <w:p>
      <w:r>
        <w:rPr>
          <w:b/>
        </w:rPr>
        <w:t>E. 5.2.1</w:t>
      </w:r>
    </w:p>
    <w:p>
      <w:r>
        <w:t>Aux termes de l'art. 66a al. 1 let. o CP, le juge expulse de Suisse l'étranger qui est condamné pour infraction à l’art. 19 al. 2 ou 20 al. 2 LStup, quelle que soit la quotité de la peine prononcée à son encontre, pour une durée de 5 à 15 ans. L'expulsion obligatoire est donc en principe indépendante de la gravité des faits retenus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des critères énoncés à l'art. 31 OASA (ordonnance du 24 octobre 2007 relative à l'admission, au séjour et à l'exercice d'une activité lucrative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6B_312/2020 du 11 mai 2020 consid. 2.1.1 ; TF 6B_255/2020 du 6 mai 2020 consid. 1.2.1 ; TF 6B_124/2020 du 1 er mai 2020 consid. 3.2.1).</w:t>
      </w:r>
    </w:p>
    <w:p>
      <w:r>
        <w:rPr>
          <w:b/>
        </w:rPr>
        <w:t>E. 5.2.2</w:t>
      </w:r>
    </w:p>
    <w:p>
      <w:r>
        <w:t>Selon l’art. 8 par. 1 CEDH, toute personne a droit au respect de sa vie privée et familiale. Ce droit n’est toutefois pas absolu. Une ingérence dans son exercice est possible, selon l’art.</w:t>
      </w:r>
    </w:p>
    <w:p>
      <w:r>
        <w:rPr>
          <w:b/>
        </w:rPr>
        <w:t>E. 5.2.3</w:t>
      </w:r>
    </w:p>
    <w:p>
      <w:r>
        <w:t>La Cour européenne des droits de l'Homme estime que, compte tenu des ravages de la drogue dans la population, les autorités sont fondées à faire preuve d'une grande fermeté à l'encontre de ceux qui contribuent à la propagation de ce fléau (TF 6B_344/2020 du 9 juillet 2020 consid. 3.3 et les arrêts de la CourEDH cités ; TF 6B_153/2020 du 28 avril 2020 consid. 1.4.3).</w:t>
      </w:r>
    </w:p>
    <w:p>
      <w:r>
        <w:rPr>
          <w:b/>
        </w:rPr>
        <w:t>E. 5.3</w:t>
      </w:r>
    </w:p>
    <w:p>
      <w:r>
        <w:t>En l’espèce, l’intimé est reconnu coupable d’infraction grave à la LStup (art. 19 al. 2 let. c LStup), soit d’une infraction qui tombe sous le coup de l’art. 66a al. 1 let. o CP, de sorte qu’il remplit les conditions d’une expulsion obligatoire, sous réserve de l’application de l’art. 66a al. 2 CP, voire également des normes de droit international (cf. ATF 144 IV 332 consid. 3.2). S’agissant de sa situation personnelle, l’intimé est arrivé en Suisse en 2015. Il n’a pas de famille ni d’enfant en Suisse. Il vit certes en concubinage depuis juillet 2019, mais les relations visées par l’art. 8 par. 1 CEDH sont avant tout celles qui existent entre époux ainsi qu'entre parents et enfants mineurs vivant en ménage commun, et l’intéressé n’invoque aucune circonstance particulière justifiant qu’il serait habilité à invoquer l'art. 8 CEDH en sa qualité de concubin. Le fait qu’il aurait pour projet de se marier avec sa compagne ne suffit pas. L’intimé travaille certes dans un restaurant depuis le 5 avril 2022 (P. 48), mais cet élément relève tout au plus d’une intégration ordinaire et non d’un lien professionnel spécialement intense avec la Suisse. Il n’a pas non plus revendiqué de participation particulière à la vie sociale de notre pays. Dans ces conditions, le retour de l’intimé en [...] constitue une ingérence admissible dans sa vie privée et ne le place pas dans une situation personnelle grave. Il n’y a dès lors pas de cas de rigueur au sens de l’art. 66a al. 2 CP. Au demeurant, s’il s’agissait d’effectuer une pesée des intérêts, l’intimé est arrivé en Suisse à l’âge de 30 ans. Il parle la langue de son pays, où il est par ailleurs retourné après avoir accompli sa scolarité obligatoire en Allemagne. Il a des contacts journaliers avec sa mère et son frère qui vivent en [...] (jugement du 18 octobre 2021, p. 8). Il n’aura aucune difficulté à trouver du travail dans l’hôtellerie en [...], puisqu’il a une expérience de quinze ans dans ce domaine (jugement du 18 octobre 2021, p. 8). Il n’a pas fait état de problèmes de santé d’une gravité telle que ceux-ci ne pourraient pas être soignés en [...]. Il a des dettes de plusieurs milliers de francs, en particulier auprès de Swisscom. Il a volontairement quitté son emploi en septembre 2018, notamment en raison de sa consommation croissante de kétamine, de sorte qu’il a dû recourir à l’aide sociale pendant plusieurs années. En outre, conformément à la jurisprudence de la Cour européenne des droits de l’homme, il peut être fait preuve de grande fermeté à l’encontre de l’intimé compte tenu de la gravité des faits pour lesquels il est condamné, soit principalement pour avoir joué un rôle prépondérant dans l’importation en Suisse d’au moins 145,75 kg de marijuana. Par l’ampleur de son activité criminelle, l’intimé a en effet mis en danger la santé et/ou la vie d’innombrables personnes et contribué à la propagation du fléau de la drogue. De surcroît, l’intimé a été appréhendé et mis en détention provisoire de février à avril 2022, soit en cours de procédure, car fortement soupçonné d’avoir, le 28 février 2022, introduit en Suisse, par la France, 34,460 kg de marijuana placés dans son véhicule Audi S8 gris immatriculé VD [...] à l’intérieur de trois sacs de sport (P. 39). Ces soupçons de récidive en cours d’enquête jettent clairement le doute sur la considération que porte l’intimé à l’ordre public suisse, de sorte qu’un pronostic favorable quant à son comportement futur ne peut pas être émis. Enfin, l’intimé a persisté à nier son rôle prépondérant dans l’importation massive de marijuana, ce qui fait également douter d'une réelle prise de conscience de la gravité de ses actes et d'une remise en cause sincère. Dans ces conditions, l’importance de l’intérêt public à l’expulsion de l’intimé prime indéniablement son intérêt privé à demeurer en Suisse. Aucune des deux conditions cumulatives du cas de rigueur de l'art. 66a al. 2 CP n’est par conséquent pas réalisée. Ordonnée pour une durée de 8 ans, l’expulsion est par ailleurs conforme au principe de la proportionnalité des art. 5 al. 2 Cst. et 8 par. 2 CEDH. 6. En définitive, l’appel du Ministère public doit être partiellement admis et le jugement entrepris réformé dans le sens des considérants qui précèdent. La liste d’opérations produite par Me Sandeep Pai pour la procédure d’appel avant l’arrêt du Tribunal fédéral, indiquant 5h10 d’activité, est admise. Il faut ajouter 1h21 pour l’audience.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1’173 francs. Il faut y ajouter 2 % pour les débours forfaitaires, soit 23 fr. 50, 120 fr. pour une vacation et 7,7 % de TVA sur le tout, soit 101 fr. 40, de sorte que l'indemnité s’élève au total à 1'417 fr. 90. La liste d’opérations produite par Me Sandeep Pai pour la procédure d’appel après l’arrêt du Tribunal fédéral, indiquant 0,5 h d’activité pour lui-même et 5h05 d’activité pour l’avocate-stagiaire Elizaveta Senggen, est également admise. Au tarif horaire de 180 fr. pour un avocat et de 110 fr. pour un avocat-stagiaire (art. 2 al. 1 let. b RAJ), l’indemnité s’élève au total à 709 fr. 10, comprenant le défraiement par 645 fr. 50, les débours par 12 fr. 90 et la TVA par 50 fr. 70. Les frais d'appel antérieurs à l’arrêt du Tribunal fédéral du 1 er mai 2023, par 4'757 fr. 90, constitués de l'émolument du jugement du 24 mai 2022 par 3'340 fr. (art. 21 al. 1 et 2 TFIP) et de l'indemnité de Me Sandeep Pai par 1’417 fr. 90, ainsi que les frais d’appel postérieurs à l’arrêt du Tribunal fédéral du 1 er mai 2023, par 3'129 fr. 10, constitués de l’émolument du présent jugement par 2'420 fr. et de l’indemnité de Me Sandeep Pai par 709 fr. 10, seront mis à la charge de l’intimé, dès lors que l’appel du Ministère public est admis pour l’essentiel (art. 428 al. 1 CPP). L'intimé ne sera tenu de rembourser à l’Etat l’indemnité totale de 2'127 fr. en faveur de son défenseur d’office (1'417 fr. 90 + 709 fr. 10) que lorsque sa situation financière le permettra (art. 135 al. 4 let. a CPP).</w:t>
      </w:r>
    </w:p>
    <w:p>
      <w:r>
        <w:rPr>
          <w:b/>
        </w:rPr>
        <w:t>E. 8</w:t>
      </w:r>
    </w:p>
    <w:p>
      <w:r>
        <w:t>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Il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par. 1 CEDH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 ; TF 6B_908/2019 du 5 novembre 2019 consid. 2.1.1). Les relations visées par l’art. 8 CEDH sont avant tout celles qui concernent la famille dite nucléaire, soit celles qui existent entre époux ainsi qu’entre parents et enfants mineurs vivant en ménage commun (ATF 144 II 1 précité ; ATF 135 I 143 consid. 1.3.2 ; TF 66_908/2019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6B_312/2020 du 11 mai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