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372 vom 20. Mai 2021</w:t>
      </w:r>
    </w:p>
    <w:p>
      <w:r>
        <w:t>VD Tribunal cantonal, 2021-05-20, FR</w:t>
      </w:r>
    </w:p>
    <w:p>
      <w:r>
        <w:rPr>
          <w:b/>
        </w:rPr>
        <w:t xml:space="preserve">Quelle: </w:t>
      </w:r>
      <w:r>
        <w:t>https://mcp.opencaselaw.ch/entscheid/vd_findinfo_Jug___2023___372</w:t>
      </w:r>
    </w:p>
    <w:p>
      <w:r>
        <w:t>FR: VD_FINDINFO Jug / 2023 / 372 du 20 mai 2021</w:t>
      </w:r>
    </w:p>
    <w:p>
      <w:r>
        <w:t>IT: VD_FINDINFO Jug / 2023 / 372 del 20 maggio 2021</w:t>
      </w:r>
    </w:p>
    <w:p>
      <w:pPr>
        <w:pStyle w:val="Heading2"/>
      </w:pPr>
      <w:r>
        <w:t>Regeste</w:t>
      </w:r>
    </w:p>
    <w:p>
      <w:r>
        <w:t>RÉVISION{DÉCISION}, REJET DE LA DEMANDE, NOUVEAU MOYEN DE FAIT | 410 al. 1 let. a CPP (CH)</w:t>
      </w:r>
    </w:p>
    <w:p>
      <w:pPr>
        <w:pStyle w:val="Heading2"/>
      </w:pPr>
      <w:r>
        <w:t>Erwägungen</w:t>
      </w:r>
    </w:p>
    <w:p>
      <w:r>
        <w:rPr>
          <w:b/>
        </w:rPr>
        <w:t>E. 1.1</w:t>
      </w:r>
    </w:p>
    <w:p>
      <w:r>
        <w:t>En application de l’art. 123 al. 2 let. b LTF (loi fédérale sur le Tribunal fédéral du 17 juin 2005 ; RS. 173.110), la révision d’un arrêt du Tribunal fédéral peut être demandée dans les affaires pénales, si les conditions fixées à l’art. 410 al. 1 let. a et b et 2 CPP (Code de procédure pénale suisse du 5 octobre 2007 ; RS 312.0) sont remplies. Dans ce cas, elle doit être déposée devant le Tribunal fédéral (art. 124 LTF). Toutefois, sous réserve des faits déterminant la recevabilité du recours en matière pénale au Tribunal fédéral, la révision pour faits nouveaux ou preuves nouvelles d'un arrêt rendu par le Tribunal fédéral dans une affaire pénale n'entre en considération que dans les cas où, dans l'arrêt sujet à révision, le Tribunal fédéral a rectifié ou complété l'état de fait sur la base de l'art. 105 al. 2 LTF. Ce n'est que dans ces cas que des faits nouveaux ou preuves nouvelles au sens de l'art. 410 CPP sont propres à entraîner une modification de l'état de fait de l'arrêt du Tribunal fédéral sujet à révision. Dans les autres cas, c'est en réalité une modification de l'état de fait de la décision cantonale que les faits nouveaux ou preuves nouvelles sont susceptibles d'entraîner, de sorte qu'ils doivent être invoqués dans une demande de révision dirigée contre le jugement cantonal (ATF 134 IV 48 consid. 1 ; TF 6F_30/2020 du 28 octobre 2020 consid. 3.2 ; TF 6F_16/2020 du 3 juin 2020 consid. 1.1).</w:t>
      </w:r>
    </w:p>
    <w:p>
      <w:r>
        <w:rPr>
          <w:b/>
        </w:rPr>
        <w:t>E. 1.2.1</w:t>
      </w:r>
    </w:p>
    <w:p>
      <w:r>
        <w:t>L’art. 410 al. 1 let. a CPP a subi une modification entrée en vigueur le 1 er janvier 2024. L’art. 453 al. 1 CPP dispose que les recours formés contre les décisions rendues avant l’entrée en vigueur du présent code sont traités selon l’ancien droit par les autorités compétentes sous l’empire de ce droit. Cette disposition s’applique également à la procédure de révision, que le Code de procédure pénale classe parmi les voies de recours. Toutefois, lorsqu'une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Les motifs de révision restent, en revanche, ceux qui sont prévus par le droit applicable au moment où la décision soumise à révision a été rendue (TF 6B_41/2012 du 28 juin 2012 consid. 1.1). C’est donc l’art. 410 al. 1 let. a CPP selon sa teneur en vigueur avant le 1 er janvier 2024 qui trouve application dans le cas présent.</w:t>
      </w:r>
    </w:p>
    <w:p>
      <w:r>
        <w:rPr>
          <w:b/>
        </w:rPr>
        <w:t>E. 1.2.2</w:t>
      </w:r>
    </w:p>
    <w:p>
      <w:r>
        <w:t>L’art. 410 al. 1 let. a CPP dispose que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Selon l’art. 411 CPP, les demandes de révision doivent être motivées et adressées par écrit à la juridiction d’appel. Les motifs de révision doivent être exposés et justifiés dans la demande (al. 1). Les demandes de révision visées à l’art. 410 al. 1 let. b et 2 CPP doivent être déposées dans les 90 jours à compter de la date à laquelle la personne concernée a eu connaissance de la décision en cause. Dans les autres cas, elles ne sont soumises à aucun délai (al. 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1.3</w:t>
      </w:r>
    </w:p>
    <w:p>
      <w:r>
        <w:t>En l’espèce, le Tribunal fédéral a rejeté, dans la mesure où il était recevable, le recours interjeté par Q.________ contre le jugement cantonal du 24 novembre 2021 sans en modifier l’état de fait. C'est donc cette dernière décision qui peut faire l'objet d'une demande de révision, selon la procédure applicable devant l’instance de révision cantonale, à savoir la Cour d’appel pénale. Pour le surplus, la demande a été déposée par le condamné, qui a qualité pour agir, et remplit les exigences de forme ; elle est donc recevable. Dans cette mesure, la procédure écrite est applicable (art. 412 al. 1 in fine CPP).</w:t>
      </w:r>
    </w:p>
    <w:p>
      <w:r>
        <w:rPr>
          <w:b/>
        </w:rPr>
        <w:t>E. 2.1</w:t>
      </w:r>
    </w:p>
    <w:p>
      <w:r>
        <w:t>Le demandeur soutient que le courrier du 1 er mai 2023 de Z.________ est un élément nouveau de nature à invalider le jugement du 20 mai 2021, sa condamnation ayant été fondée en grande partie sur les déclarations de cette dernière, qui s’avéreraient être fausses.</w:t>
      </w:r>
    </w:p>
    <w:p>
      <w:r>
        <w:rPr>
          <w:b/>
        </w:rPr>
        <w:t>E. 2.2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Un fait survenu après le jugement dont la révision est demandée n’est pas considéré comme inconnu (ATF 145 IV 383 consid. 2.3 ; TF 6B_731/2020 du 1er juillet 2020 consid. 2.3). Un fait qui n’existait pas au moment du jugement et qui survient ensuite n’est pas nouveau. En revanche, le moyen de preuve découvert postérieurement au jugement et le fait qui existait déjà au moment du jugement mais qui n’a été révélé qu’ensuite, doivent être considéré comme nouveaux (TF 6B_455/2011 du 29 novembre 2011 consid. 1.3).</w:t>
      </w:r>
    </w:p>
    <w:p>
      <w:r>
        <w:rPr>
          <w:b/>
        </w:rPr>
        <w:t>E. 2.3</w:t>
      </w:r>
    </w:p>
    <w:p>
      <w:r>
        <w:t>En l’espèce, le courrier du 1 er mai 2023 de Z.________ constitue un moyen de preuve nouveau. Toutefois, au vu de la condamnation d’Q.________ par jugement définitif et exécutoire du 26 février 2024, force est de constater que ce courrier a été rédigé sous la contrainte. Sa crédibilité est nulle. La demande de révision étant uniquement fondée sur ce moyen de preuve, elle doit être rejetée.</w:t>
      </w:r>
    </w:p>
    <w:p>
      <w:r>
        <w:rPr>
          <w:b/>
        </w:rPr>
        <w:t>E. 3</w:t>
      </w:r>
    </w:p>
    <w:p>
      <w:r>
        <w:t>Au vu de ce qui précède, la demande de révision doit être rejetée. Vu l’issue de la cause, les frais de la procédure de révision, constitués du seul émolument de décision, par 770 fr. (art. 21 al. 1 par renvoi de l’art. 22 al. 1 TFIP [tarif des frais de procédure et indemnités en matière pénale du 28 septembre 2010 ; BLV 312.03.1]), seront mis à la charge du demandeur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