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369 vom 1. Januar 2021</w:t>
      </w:r>
    </w:p>
    <w:p>
      <w:r>
        <w:t>VD Tribunal cantonal, 2021-01-01, FR</w:t>
      </w:r>
    </w:p>
    <w:p>
      <w:r>
        <w:rPr>
          <w:b/>
        </w:rPr>
        <w:t xml:space="preserve">Quelle: </w:t>
      </w:r>
      <w:r>
        <w:t>https://mcp.opencaselaw.ch/entscheid/vd_findinfo_Jug___2023___369</w:t>
      </w:r>
    </w:p>
    <w:p>
      <w:r>
        <w:t>FR: VD_FINDINFO Jug / 2023 / 369 du 1 janvier 2021</w:t>
      </w:r>
    </w:p>
    <w:p>
      <w:r>
        <w:t>IT: VD_FINDINFO Jug / 2023 / 369 del 1 gennaio 2021</w:t>
      </w:r>
    </w:p>
    <w:p>
      <w:pPr>
        <w:pStyle w:val="Heading2"/>
      </w:pPr>
      <w:r>
        <w:t>Regeste</w:t>
      </w:r>
    </w:p>
    <w:p>
      <w:r>
        <w:t>AGGRAVATION DE LA PEINE, LOI FÉDÉRALE SUR LES STUPÉFIANTS ET LES SUBSTANCES PSYCHOTROPES, CIRCULATION ROUTIÈRE{DROIT DE LA CIRCULATION ROUTIÈRE}, FIXATION DE LA PEINE, CONCOURS D'INFRACTIONS, EXPULSION{DROIT PÉNAL}, CONFISCATION{DROIT PÉNAL}, SÉQUESTRE{MESURE PROVISIONNELLE} | 42 CP, 43 CP, 46 CP, 47 CP, 49 al. 1 CP, 66a al. 1 let. o CP, 69 CP, 19 ch. 2 LStup, 268 CPP (CH)</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S.________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L'appelant fait valoir d'abord que les premiers juges ne pouvaient pas retenir la circonstance aggravante de la bande pour l'infraction à la LStup (loi fédérale sur les stupéfiants et les substances psychotropes du 3 octobre 1951 ; RS 812.121). Il conteste avoir intégré un réseau de trafiquants et fait valoir que, s'il a refusé de s'exprimer au sujet des personnes avec lesquelles il a agi, c'est parce qu'il craint des représailles.</w:t>
      </w:r>
    </w:p>
    <w:p>
      <w:r>
        <w:rPr>
          <w:b/>
        </w:rPr>
        <w:t>E. 3.2</w:t>
      </w:r>
    </w:p>
    <w:p>
      <w:r>
        <w:t>; TF 6B_101/2021 du 22 décembre 2021 consid. 3.2 ; TF 6B_184/2021 du 16 décembre 2021 consid. 1.1), à partir de laquelle le cas doit être considéré comme grave au sens de l'art. 19 al. 2 let. a LStup (ATF 121 IV 193 consid. 2b/aa).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6B_101/2021 précité ; TF 6B_227/2020 du 29 avril 2020 consid. 2.1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 15 novembre 2018 consid. 3.3).</w:t>
      </w:r>
    </w:p>
    <w:p>
      <w:r>
        <w:rPr>
          <w:b/>
        </w:rPr>
        <w:t>E. 3.3</w:t>
      </w:r>
    </w:p>
    <w:p>
      <w:r>
        <w:t>On pourrait objecter à l'appelant que, s'il a exprimé sa crainte de représailles, c'est précisément parce qu'il a fait partie d'un réseau de trafiquants et qu'il craint les conséquences de sa collaboration avec les autorités. Mais de toute manière, comme l'indique la jurisprudence citée plus haut, il était superflu pour les premiers juges de retenir la circonstance aggravante de la bande de l'art. 19 al. 2 let. b LStup et le moyen doit être admis, étant précisé qu'il faudra examiner les conséquences sur la peine, cette circonstance pouvant être prise en considération dans le cadre de l'art. 47 CP. Pour le reste, contrairement à ce que soutient l'appelant, il n'a pas admis tous les faits et la Cour de céans, comme les premiers juges, ne le croit pas un instant lorsqu'il affirme ne pas avoir su ce qu'il transportait. On voit bien qu'en alléguant avoir cru transporter exclusivement du produit de coupage, l’appelant maitrise bien les tenants et aboutissants du transport de stupéfiants et ce qu'il faut dire pour tenter de s'exonérer de sa responsabilité. Ensuite, l'élaboration des différentes cachettes dans le véhicule et les circonstances de la prise de contact avec le réceptionnaire de la drogue démontrent à satisfaction que l’appelant ne pouvait ignorer qu'il véhiculait de grandes quantités de drogue. Il ne l'admet pas et c'est donc à bon droit que les premiers juges ont retenu qu'il minimisait les faits qui lui étaient reprochés.</w:t>
      </w:r>
    </w:p>
    <w:p>
      <w:r>
        <w:rPr>
          <w:b/>
        </w:rPr>
        <w:t>E. 4.1</w:t>
      </w:r>
    </w:p>
    <w:p>
      <w:r>
        <w:t>L'appelant invoque ensuite une violation des art. 42, 43, 46, 47 et 49 CP. Il conteste la révocation du sursis accordé en 2019 et se prétend digne d'un nouveau sursis, à tout le moins partiel. Il invoque les biens juridiquement protégés différents des récidives.</w:t>
      </w:r>
    </w:p>
    <w:p>
      <w:r>
        <w:rPr>
          <w:b/>
        </w:rPr>
        <w:t>E. 4.2.1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l’héroïne, de 12 grammes (TF 6B_1192/2019 du 23 janvier 2019 consid. 1.1 ; TF 6B_780/2018 du 9 octobre 2018 consid. 2.1 et les références citées), et pour la cocaïne, de 18 grammes (ATF 138 IV 100 consid.</w:t>
      </w:r>
    </w:p>
    <w:p>
      <w:r>
        <w:rPr>
          <w:b/>
        </w:rPr>
        <w:t>E. 4.2.2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4.2.3</w:t>
      </w:r>
    </w:p>
    <w:p>
      <w:r>
        <w:t>Aux termes de l'art. 42 al. 1 CP, le juge suspend en règle générale l'exécution d'une peine pécuniaire ou d'une peine privative de liberté de deux ans au plus lorsqu'une peine ferme ne paraît pas nécessaire pour détourner l'auteur d'autres crimes ou délits. Selon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cf. aussi TF 6B_664/2007 du 18 janvier 2008 consid. 3.2.1;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(ATF 134 IV 1 consid. 5.2 ; TF 6B_1285/2017 du 14 mai 2018 consid. 4.1 ; TF 6B_392/2016 du 10 novembre 2016).</w:t>
      </w:r>
    </w:p>
    <w:p>
      <w:r>
        <w:rPr>
          <w:b/>
        </w:rPr>
        <w:t>E. 4.2.4</w:t>
      </w:r>
    </w:p>
    <w:p>
      <w:r>
        <w:t>Selon l'art. 46 CP, si durant le délai d'épreuve, le condamné commet un crime ou un délit et qu'il y a dès lors lieu de prévoir qu'il commettra de nouvelles infractions, le juge révoque le sursis ou le sursis partiel (al. 1, 1re phrase). S'il n'y a pas lieu de prévoir que le condamné commettra de nouvelles infractions, le juge renonce à ordonner la révocation (al. 2, 1re phrase).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6B_887/2017 du 8 mars 2018 consid. 5.1 ; TF 6B_105/2016 du 11 octobre 2016 consid. 1.1).</w:t>
      </w:r>
    </w:p>
    <w:p>
      <w:r>
        <w:rPr>
          <w:b/>
        </w:rPr>
        <w:t>E. 4.3</w:t>
      </w:r>
    </w:p>
    <w:p>
      <w:r>
        <w:t>En l’espèce, l’appelant est condamné pour infraction grave à la loi fédérale sur les stupéfiants et violation grave des règles de la circulation routière. Comme l'on retenu les premiers juges, la culpabilité de l'appelant est lourde. Il a déjà occupé les autorités judiciaires à plusieurs reprises. Il est condamné pour la quatrième fois. Ayant bénéficié d'un sursis avec un long délai d'épreuve en 2019, l'appelant a récidivé par appât d'un gain facile, ce qui trahit également une lourde culpabilité. Les antécédents en matière de circulation routière sont également catastrophiques en raison des nombreux retraits de permis. Contrairement à ce qu'il soutient, le fait qu'il récidive en prêtant main forte à des trafiquants de stupéfiants, après avoir été condamné à plusieurs reprises pour vol, n'est pas en sa faveur et atteste au contraire d'une propension à la criminalité dans divers domaines. L’appelant a agi au sein d’un réseau de trafiquants de drogue d’envergure internationale pour lequel il a assumé un rôle clairement défini, son activité de transporteur constituant l’un des rouages essentiels de ce type d’organisation. L’affiliation de l’appelant à une bande criminelle constitue un élément à charge devant être retenu contre lui. Plutôt que de reconnaître franchement ses torts, l’appelant affirme sans rire qu'il pensait participer à un acte illégal de peu de gravité. Sa prise de conscience est donc très faible pour ne pas dire nulle. L’appelant a d’ailleurs refusé de travailler en détention, sous prétexte qu’il allait sortir rapidement de prison, ce qui atteste du fait qu’il ne mesure pas la gravité de ses actes. Pour ces motifs, il ne faut pas donner un poids démesuré aux regrets qu’il a exprimés. A cela s’ajoute que son comportement en détention ne saurait être qualifié d’irréprochable, dès lors qu’il a fait l’objet d’une sanction disciplinaire. Enfin, les infractions commises entrent en concours. La culpabilité de l’appelant impose le prononcé d’une peine privative de liberté de longue durée, seule une peine privative de liberté est susceptible de réprimer le comportement de l'appelant. Il faut constater que, malgré trois précédentes condamnations et l’octroi d’un sursis avec un long délai d'épreuve en 2019, l’appelant n’a pas hésité à participer à une livraison importante de stupéfiants, par pur appât du gain, ce qui fait craindre un risque de récidive. En outre, vu les nombreux retraits de permis, la récidive de violation grave des règles de la circulation routière doit entrainer une peine privative de liberté sévère pour des motifs de prévention spéciale, le pronostic étant clairement défavorable. La peine de base devant être fixée en premier concerne l'infraction grave à la LStup. Pour celle-ci, la culpabilité de l’appelant est lourde. En tenant compte de la quantité importante transportée, mais en considérant cependant qu'il ne s'est agi que d'un seul transport, une peine de 25 mois doit être prononcée. L’infraction de violation grave des règles de la circulation routière (LCR ; RS 741.01) doit entrainer, par l'effet du concours, une aggravation de la peine de 3 mois. Toujours en tenant compte d’une culpabilité lourde, il faut relever que le comportement de l’appelant en matière de circulation routière est préoccupant. Les excès de vitesse et les accidents causés par ce dernier ont entraîné de multiples retraits du permis de conduire, ce qui démontre également le danger qu'il représente pour autrui. Ce risque important de récidive dicte clairement le choix d'une peine privative de liberté ferme. Fondé sur ce qui précède, il faut retenir une peine privative de liberté de 28 mois.</w:t>
      </w:r>
    </w:p>
    <w:p>
      <w:r>
        <w:rPr>
          <w:b/>
        </w:rPr>
        <w:t>E. 4.4</w:t>
      </w:r>
    </w:p>
    <w:p>
      <w:r>
        <w:t>Les infractions réprimées ont été commises durant le délai d’épreuve du sursis assortissant la peine privative de liberté de 11 mois prononcée le 24 janvier 2019 par le Tribunal cantonal de Bâle-Campagne. Comme l’ont relevé les premiers juges, quand bien même les infractions objets de cette précédente condamnation étaient des infractions contre le patrimoine et contre la liberté, soit des biens juridiquement protégés autres que ceux dont il est question aujourd'hui, la raison qui a alors poussé l’appelant à agir était la même que celle qui l'a conduite à se livrer au trafic de stupéfiants, soit l'appât du gain. Ainsi, la menace d'une peine privative de liberté de 11 mois n'a pas été suffisante pour le détourner de la commission de nouvelles infractions. En outre, le sursis qui lui avait été accordé le 27 mai 2014 avait déjà été révoqué le 24 janvier 2019, sans que cela n'empêche l’appelant de récidiver une nouvelle fois. Pour tous ces motifs, le pronostic examiné sous l'angle de l'art. 46 CP demeure totalement négatif et la peine infligée dans le cadre de la présente cause ne revêt pas à elle seule un effet dissuasif suffisant. Partant, le sursis accordé à l’appelant le 24 janvier 2019 doit être révoqué.</w:t>
      </w:r>
    </w:p>
    <w:p>
      <w:r>
        <w:rPr>
          <w:b/>
        </w:rPr>
        <w:t>E. 4.5</w:t>
      </w:r>
    </w:p>
    <w:p>
      <w:r>
        <w:t>C'est ainsi une peine privative de liberté d'ensemble de 38 mois qui doit être prononcée à l’encontre de l’appelant.</w:t>
      </w:r>
    </w:p>
    <w:p>
      <w:r>
        <w:rPr>
          <w:b/>
        </w:rPr>
        <w:t>E. 5.1</w:t>
      </w:r>
    </w:p>
    <w:p>
      <w:r>
        <w:t>L'appelant conteste ensuite son expulsion. Il fait valoir en substance qu'il est bien intégré en Suisse, qu'il est un père de famille travailleur et qu'il doit être renoncé à l'expulsion en raison de la clause de rigueur.</w:t>
      </w:r>
    </w:p>
    <w:p>
      <w:r>
        <w:rPr>
          <w:b/>
        </w:rPr>
        <w:t>E. 5.2.1</w:t>
      </w:r>
    </w:p>
    <w:p>
      <w:r>
        <w:t>Selon l'art. 66a al. 1 let. o CP, le juge expulse de Suisse l'étranger qui est condamné notamment pour infraction à l'art. 19, al. 2, ou 20, al. 2, de la loi du 3 octobre 1951 sur les stupéfiants (LStup), quelle que soit la quotité de la peine prononcée à son encontre, pour une durée de cinq à quinze ans.</w:t>
      </w:r>
    </w:p>
    <w:p>
      <w:r>
        <w:rPr>
          <w:b/>
        </w:rPr>
        <w:t>E. 5.2.2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(cf. art. 5 al. 2 Cst. ; ATF 144 IV 332 consid. 3.3.1 p. 340 ; TF 6B_690/2019 du 4 décembre 2019 consid. 3.4.2 destiné à la publication). Elle doit être appliquée de manière restrictive (ATF 144 IV 332 consid. 3.3.1 p. 340 ; TF 6B_690/2019 précité consid. 3.4.2 destiné à la publication). Selon la jurisprudence du Tribunal fédéral (cf. ATF 144 IV 332 consid. 3.3.2 p. 340 s. ; TF 6B_690/2019 précité consid. 3.4 destiné à la publication),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p. 340 s.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6B_1417/2019 précité consid. 2.1.1 ; TF 6B_50/2020 du 3 mars 2020 consid. 1.3.1). Selon la jurisprudence, pour se prévaloir du droit au respect de sa vie privée au sens de l'art.</w:t>
      </w:r>
    </w:p>
    <w:p>
      <w:r>
        <w:rPr>
          <w:b/>
        </w:rPr>
        <w:t>E. 5.3</w:t>
      </w:r>
    </w:p>
    <w:p>
      <w:r>
        <w:t>En l’espèce, contrairement à ce que soutient l'appelant, son intégration en Suisse n'est pas bonne. Si l’appelant est arrivé en Suisse il y a une quinzaine d’années, qu’il y a construit un cercle social et qu’il parle l’allemand, il a toutefois été condamné à plusieurs reprises pour de nombreuses infractions. Son comportement en matière de circulation routière est des plus préoccupant, puisqu'il a mis en danger durablement d'autres usagers de la route, par des excès de vitesse et des accidents ayant entraîné de multiples retraits de permis. Le cas le plus grave pour lequel il est condamné dans la présente affaire permet de retenir qu'il constitue également un risque majeur pour la santé publique. Il a des dettes en raison de frais de justice impayés. Il était au chômage partiel au moment de son arrestation. L'intérêt public présidant à son expulsion est donc important. Certes, il est difficilement contestable que l'expulsion mettrait l'appelant dans une situation personnelle très difficile, dès lors que son épouse et ses deux enfants mineurs sont établis en Suisse. Il n'en demeure pas moins que cet intérêt privé doit céder le pas face à l'intérêt public important à son expulsion. En effet, l’appelant s'est adonné au trafic de drogue, alors même que le délai d'épreuve concernant sa dernière condamnation à une peine privative de liberté de 11 mois courait encore. Les sanctions prononcées n'ont eu aucun effet sur son comportement, puisque l'intéressé avait déjà été condamné par trois fois, en Suisse, en raison d’infractions diverses. L’appelant a affiché ainsi un mépris total de l'ordre juridique suisse et doit être considéré comme un danger pour la sécurité publique de ce pays. On peut d'ailleurs rappeler, à cet égard, que la Cour européenne des droits de l'Homme estime que, compte tenu des ravages de la drogue dans la population, les autorités sont fondées à faire preuve d'une grande fermeté à l'encontre de ceux qui contribuent à la propagation de ce fléau (cf. arrêts CourEDH K. M. c. Suisse du 2 juin 2015 [requête n° 6009/10] § 55 ; Dalia c. France du 19 février 1998, Recueil CourEDH 1998-I 76 § 54 ; cf. aussi TF 6B_153/2020 précité consid. 1.4.3). Enfin, le regroupement familial pourra s'effectuer en Macédoine si la famille le souhaite, dès lors qu’elle s'y rend fréquemment et que l’appelant y a sa famille. L’appelant parle albanais avec son épouse et avec ses enfants. Dans le cas contraire, c'est à dire si sa famille devait rester en Suisse, l’appelant expulsé conservera la possibilité d’entretenir des contacts avec les siens par les moyens de communication modernes usuels et pourra les voir durant les vacances. Ainsi, compte tenu de la gravité des infractions commises et des antécédents de l’appelant dans divers domaines d’infraction, de sa mauvaise intégration, ainsi que des possibilités qu'il conserve de se réintégrer dans son pays d'origine et de maintenir des liens avec ses enfants et son épouse, l'intérêt public à l'expulsion l'emporte sur l'intérêt privé de l'intéressé à demeurer en Suisse. L'expulsion, ordonnée pour une durée de sept ans, qui permet de maintenir des contacts avec sa famille, s'avère conforme au principe de la proportionnalité découlant des art. 5 al. 2 Cst. et 8 par. 2 CEDH. La mesure ordonnée doit donc être confirmée. 6. L’appelant se plaint également de l’inscription de la mesure d’expulsion dans le registre SIS. Il explique que cette inscription ne figurait pas dans le dispositif qui lui avait été notifié, mais uniquement dans le jugement motivé. Cette modification du dispositif ne serait pas admissible. Or, selon la jurisprudence du Tribunal fédéral, le signalement de l'expulsion dans le SIS relève du droit d'exécution, respectivement du droit de police (ATF 146 IV 172 consid. 3.3.4 ; TF 6B_1495/2022 du 12 mai 2023 consid. 1.5 ; voir aussi : Commentaire de l'Office fédéral de la justice [OFJ] du 20 décembre 2016 concernant l'ordonnance sur la mise en œuvre de l'expulsion pénale, p.7). Il a sans aucun doute des conséquences importantes dans la mesure où les personnes concernées sont interdites d'entrer dans les Etats Schengen sans décision préalable. Néanmoins, le signalement dans le SIS n'est pas une sanction – contrairement au prononcé d'expulsion lui-même prévu aux art. 66a s. CP (cf. art. 4 al. 1er let. e bis de l'ordonnance du 29 septembre 2006 sur le casier judiciaire [ordonnance VOSTRA; RS 331]). Il en découle en particulier que l'interdiction de la reformatio in pejus au sens de l'art. 391 al. 2 CPP, dont le but est d'empêcher le prononcé d'une sanction plus sévère dans la procédure d'appel, ne s'applique pas à la question, relevant purement du droit d'exécution, respectivement du droit de police, du signalement de l'expulsion dans le SIS (ATF 146 IV 172 consid. 3.3.5 et les références citées ; TF 6B_1495/2022 précité consid. 1.5). Autrement dit, la Cour de céans aurait de toute manière pu prononcer d’office l’inscription de la mesure d’expulsion dans le registre SIS. Le grief de l’appelant doit donc être rejeté. 7. 7.1 L'appelant conteste encore la confiscation de son véhicule et demande la restitution d'une partie de l'argent séquestré. 7.2 7.2.1 Selon l'art. 69 CP,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 ATF 130 IV 143 consid. 3.3.1 ; TF 6B_35/2017 du 26 février 2018 consid. 9.1 ; TF 6B_454/2021 du 4 octobre 2021 consid. 5.1 ; TF 6B_354/2021 du 1er novembre 2021 consid. 6.1). La confiscation d'objets dangereux constitue une atteinte à la garantie de la propriété selon l'art. 26 Cst. et elle est soumise pour cette raison au principe de la proportionnalité dans ses deux composantes de l'adéquation au but et de la subsidiarité (art. 36 Cst.; ATF 137 IV 249 consid. 4.5 ; TF 6B_548/2015 du 29 juin 2015 consid. 5.1). 7.2.2 Selon l'art. 268 CPP, le patrimoine d'un prévenu peut être séquestré pour couvrir les frais de procédure (al. 1). L'autorité pénale doit cependant tenir compte du revenu et de la fortune du prévenu (al. 2). Les valeurs insaisissables selon les art. 92 ss LP sont exclues du séquestre (al. 3). 7.3 Le véhicule de l’appelant a manifestement servi à la commission de l'infraction puisqu'il a servi au transport sur une longue distance d'une grande quantité d'héroïne. Comme on l'a relevé, le pronostic concernant l’appelant est défavorable. Il est donc à craindre que le prévenu se serve à l'avenir à nouveau de son véhicule pour commettre des infractions à la LStup, à la LCR ou contre le patrimoine, par exemple pour se rendre sur les lieux de vol. La confiscation doit ainsi être confirmée. Pour les sommes en espèces séquestrées, elles doivent toutes être affectées au paiement des frais de justice en application de l'art. 268 CPP. En effet la situation financière de l'appelant ne justifie pas une restitution, même partielle. Il est en détention et son épouse réalise son propre salaire.</w:t>
      </w:r>
    </w:p>
    <w:p>
      <w:r>
        <w:rPr>
          <w:b/>
        </w:rPr>
        <w:t>E. 8</w:t>
      </w:r>
    </w:p>
    <w:p>
      <w:r>
        <w:t>La détention subie par S.________ depuis le jugement de première instance sera déduite (art. 51 CP). L’appelant a occupé la cellule n° 322 depuis le 25 novembre 2023 jusqu’à son transfert en exécution anticipée de peine à la Prison de Pöschwies le 21 août 2023. Il convient donc de constater que, depuis le jugement de première instance jusqu’à l’audience d’appel, il a encore subi 168 jours de détention dans des conditions illicites similaires. En conséquence, comme requis par l’appelant, il se justifie de réduire de 42 jours supplémentaires la peine prononcée, selon le même ratio (un quart) que celui retenu par les premiers juges. Pour garantir l’exécution de sa peine et compte tenu du risque de fuite qu’il présente, il convient en outre d'ordonner le maintien du prénommé en exécution anticipée de peine. A cet égard, le dispositif communiqué après l’audience d’appel est entaché d’une erreur manifeste en ce sens qu’il ordonne le maintien de S.________ en détention « pour des motifs de sûreté ». En application de l’art. 83 CPP, le chiffre V du dispositif du présent jugement doit être rectifié d’office sur ce point, dès lors que l’intéressé a été mis au bénéfice du régime d’exécution anticipée de peine, régime dans lequel il convient de le maintenir.</w:t>
      </w:r>
    </w:p>
    <w:p>
      <w:r>
        <w:rPr>
          <w:b/>
        </w:rPr>
        <w:t>E. 9</w:t>
      </w:r>
    </w:p>
    <w:p>
      <w:r>
        <w:t>En définitive, l’appel de S.________ doit être rejeté et le jugement attaqué confirmé. Vu l’issue de la cause, les frais de la procédure d’appel, constitués du seul émolument de jugement, par 3’120 fr. (art. 21 al. 1 et 2 TFIP [Tarif des frais de procédure et indemnités en matière pénale du 28 septembre 2010 ; BLV 312.03.1]), seront mis à la charge de S.________, qui succombe (art. 428 al. 1 CPP). La Cour d’appel pénale, appliquant les art. 40, 41, 47, 49 al. 1, 50, 51, 66a al. 1 let. o, 69 CP ; 19 al. 1 let. b et d et al. 2 let. a et b LStup ; 90 al. 2 LCR ; 398 ss CPP, prononce : I. L’appel est rejeté. II. Le jugement rendu le 1 er mars 2023 par le Tribunal correctionnel de l’arrondissement de Lausanne est confirmé selon le dispositif suivant : " I. constate que S.________ s’est rendu coupable d’infraction grave à la loi fédérale sur les stupéfiants et de violation grave des règles de la circulation routière ; II. révoque le sursis accordé à S.________ le 24 janvier 2019 et condamne S.________ à une peine privative de liberté d’ensemble de 38 mois, sous déduction de 250 jours de détention avant jugement au 1 er mars 2023 ; III. constate que S.________ a été détenu dans des conditions illicites pendant 19 jours dans les locaux de la police, ains que 226 jours à la prison du Bois-Mermet, et ordonne que 67 jours de détention supplémentaires soient déduits de la peine privative de liberté fixée sous chiffre II, à titre de réparation du tort moral ; IV. ordonne le maintien en détention pour des motifs de sûreté de S.________, aux fins de garantir l’exécution de l’expulsion pénale et de la peine ; V. ordonne l’expulsion du territoire suisse de S.________, pour une durée de 7 ans, avec inscription au Système d’information Schengen (SIS) ; VI. ordonne la confiscation et la dévolution à l’Etat du véhicule automobile Skoda immatriculé BS16914, propriété de S.________ ; VII. ordonne la confiscation et la destruction des blocs d’héroïne inventoriés respectivement sous fiches n° S22.003842, n° S22.003843, n° S22.003844 et n° S22.003845, de l’emballage en plastique contenant de la poudre brune inventorié sous fiche n° S22.003846 ainsi que du téléphone portable IPhone inventorié sous fiche n° 34956 ; VIII. ordonne la séquestration et l’affectation à la couverture des frais de procédure des montants de 1'298 fr. 96 (fiche n°35028) et de 95 fr. 75 (fiche n° 35029) ; IX. ordonne la restitution à S.________ du certificat COVID et de la procuration pour l’utilisation d’un véhicule, inventoriés sous fiche n° 34956 ; X. ordonne le maintien au dossier du DVD inventorié sous fiche n° 34955 à titre de pièce à conviction ; XI. met les frais de justice, par 19'851 fr. 95, à la charge de S.________." III. La détention subie depuis le jugement de première instance est déduite. IV. Il est constaté que, depuis le jugement de première instance, S.________ a subi 168 (cent soixante-huit) jours de détention au Bois-Mermet dans des conditions de détention provisoire illicites et ordonné que 42 (quarante-deux) jours de détention soient déduits de la peine fixée, à titre de réparation du tort moral. V. Le maintien de S.________ en exécution anticipée de peine est ordonné. VI. Les frais d'appel, par 3'120 fr., sont mis à la charge de S.________. Le président :              La greffière : Du Le jugement qui précède, dont le dispositif a été communiqué par écrit aux intéressés le 18 août 2023 , est notifié, par l'envoi d'une copie complète, à : - Me Ludovic Tirelli, avocat (pour S.________), - Ministère public central, et communiqué à : - M. le Président du Tribunal correctionnel de l'arrondissement de Lausanne, - Mme la Procureure cantonale Strada, - Office d'exécution des peines, - Service de la population, - Prison de Pöschwies, - Service pénitentiaire (Bureau des séquestres), - Police cantonale de Bâle-Ville (réf. : AMA-Nr. : 56304),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