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363 vom 24. April 2023</w:t>
      </w:r>
    </w:p>
    <w:p>
      <w:r>
        <w:t>VD Tribunal cantonal, 2023-04-24, FR</w:t>
      </w:r>
    </w:p>
    <w:p>
      <w:r>
        <w:rPr>
          <w:b/>
        </w:rPr>
        <w:t xml:space="preserve">Quelle: </w:t>
      </w:r>
      <w:r>
        <w:t>https://mcp.opencaselaw.ch/entscheid/vd_findinfo_Jug___2023___363</w:t>
      </w:r>
    </w:p>
    <w:p>
      <w:r>
        <w:t>FR: VD_FINDINFO Jug / 2023 / 363 du 24 avril 2023</w:t>
      </w:r>
    </w:p>
    <w:p>
      <w:r>
        <w:t>IT: VD_FINDINFO Jug / 2023 / 363 del 24 aprile 2023</w:t>
      </w:r>
    </w:p>
    <w:p>
      <w:pPr>
        <w:pStyle w:val="Heading2"/>
      </w:pPr>
      <w:r>
        <w:t>Regeste</w:t>
      </w:r>
    </w:p>
    <w:p>
      <w:r>
        <w:t>PEINE PRIVATIVE DE LIBERTÉ DE SUBSTITUTION, CONTRAVENTION, FIXATION DE LA PEINE, CONCOURS D'INFRACTIONS, VIOLATION DES RÈGLES DE LA CIRCULATION, DISPOSITIONS PÉNALES DE LA LCR, PEINE PRIVATIVE DE LIBERTÉ | 106 CP, 40 CP, 47 CP, 49 ch. 1 CP, 90 al. 2 LCR, 92 al. 2 LCR, 93 al. 2 let. a LCR</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d’H.________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soutient qu’une peine pécuniaire suffit à réprimer son comportement, respectivement à atteindre le but de prévention spéciale, et que le condamner à une peine privative de liberté viole le principe de proportionnalité, dès lors que celle-ci l’entravera considérablement dans le cadre de sa réinsertion, qu’il mènerait avec succès.</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144 IV 217 consid. 2.2 ; ATF 142 IV 265 consid. 2.3.2 ; ATF 138 IV 120 consid. 5.2). Que les dispositions pénales applicables prévoient abstraitement des peines de même genre ne suffit pas (ATF 144 IV 217 précité consid. 2.2 ; ATF 138 IV 120 précité consid. 5.2). Si les sanctions envisagées concrètement ne sont pas du même genre, elles doivent être prononcées cumulativement (ATF 142 IV 265 précité consid. 2.3.2 ; ATF 138 IV 120 précité consid. 5.2 ; ATF 137 IV 57 consid. 4.3.1). La peine privative de liberté et la peine pécuniaire ne sont pas des sanctions du même genre (ATF 144 IV 313 précité consid. 1.1.1 ; ATF 144 IV 217 précité consid. 2.2 ; ATF 137 IV 57 précité consid. 4.3.1).</w:t>
      </w:r>
    </w:p>
    <w:p>
      <w:r>
        <w:rPr>
          <w:b/>
        </w:rPr>
        <w:t>E. 3.2.3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la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II 297 précité).</w:t>
      </w:r>
    </w:p>
    <w:p>
      <w:r>
        <w:rPr>
          <w:b/>
        </w:rPr>
        <w:t>E. 3.3</w:t>
      </w:r>
    </w:p>
    <w:p>
      <w:r>
        <w:t>Le premier juge a considéré que la culpabilité de l’appelant était importante, celui-ci ayant pris la fuite après avoir causé un accident, démontrant par là qu’il n’avait aucune conscience de la gravité de son comportement. Cette appréciation peut être confirmée. Si l’appelant s’est spontanément présenté au poste de police le lendemain de l’accident pour se dénoncer et a reconnu les faits, il n’a eu, le soir même, aucun égard pour les occupantes du véhicule accidenté. Il s’est dérobé, sans s’enquérir de l’état de celles-ci et sans appeler les secours, alors même que les trois passagères ont été blessées et qu’il aurait pu le supposer. Ce comportement est intervenu seulement trois mois après l’échéance du délai d’épreuve fixé à la suite de sa libération conditionnelle, étant précisé que celle-ci a été ordonnée alors qu’il purgeait une peine privative de liberté de 4 ans, 11 mois et 20 jours prononcée à la suite de sa condamnation en 2020 pour tentative de meurtre et rixe. On rappelle que l’appelant a également été condamné en 2016 pour délit contre la loi fédérale sur les armes et en 2018 pour agression. A décharge, l’appelant a admis les faits. Il a également réglé dans une large mesure les frais liés à ses précédentes condamnations. Dans ces conditions, pour des motifs de prévention spéciale, seule une peine privative de liberté est susceptible de sanctionner les infractions commises. En effet, l’appelant a déjà été condamné à des peines pécuniaires en 2016 et 2018 qui sont restées sans effet sur son comportement délictueux puisqu’elles ne l’ont pas empêché de commettre de plus graves infractions encore en 2020. Et malgré cette lourde condamnation, il persiste à enfreindre la loi, en commettant en 2022 des infractions à la circulation routière d’une gravité certaine. La peine privative de liberté est ainsi adéquate, et contrairement à ce que prétend l’appelant, elle n’entravera pas considérablement sa réinsertion, puisqu’étant en emploi, il lui est loisible de demander l’exécution de la peine sous le régime de la semi-détention prévu par l’art. 77b CP. La violation des obligations en cas d’accident au sens de l’art. 92 al. 2 LCR, qui est l’infraction la plus grave, justifie le prononcé d’une peine privative de liberté de 60 jours. Par l’effet du concours, cette peine doit être augmentée de 30 jours pour la violation grave des règles de la circulation routière, constituée de l’excès de vitesse, du dépassement inopportun et de la perte de maîtrise du véhicule. La peine privative de liberté d’ensemble arrêtée à 90 jours par le premier juge sanctionne ainsi adéquatement le comportement délictueux du prévenu et doit être confirmée. Enfin, l’amende de 500 fr. sanctionnant la conduite d’un véhicule défectueux est également adéquate et sera confirmée, tout comme la peine privative de liberté de substitution de 5 jours en cas de non-paiement fautif.</w:t>
      </w:r>
    </w:p>
    <w:p>
      <w:r>
        <w:rPr>
          <w:b/>
        </w:rPr>
        <w:t>E. 4.1</w:t>
      </w:r>
    </w:p>
    <w:p>
      <w:r>
        <w:t>L’appelant requiert l’octroi du sursis. Il invoque une violation de l’art. 42 al. 2 CP en tant que la présente cause n’aurait aucun rapport avec ses précédentes condamnations, ce qui ne péjorerait pas le pronostic, et que le premier juge n’aurait pas pris en compte le rapport d’évaluation du 4 juin 2020 de l’Office des sanctions et des mesures d’accompagnement de l’Etat du Valais qui traitait notamment de son amendement, de son faible risque de réitération et de l’existence d’un pronostic favorable. Il fait valoir qu’au contraire, une appréciation d’ensemble de sa situation personnelle et des circonstances de l’accident plaident en faveur de l’octroi du sursis.</w:t>
      </w:r>
    </w:p>
    <w:p>
      <w:r>
        <w:rPr>
          <w:b/>
        </w:rPr>
        <w:t>E. 4.2</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Il ne peut accorder un poids particulier à certains critères et en négliger d’autres qui sont pertinents (ATF 135 IV 180 consid. 2.1 ; ATF 134 IV 1 consid. 4.2.1). Dans l’émission du pronostic, le juge dispose d’un large pouvoir d’appréciation, de sorte que le Tribunal fédéral n’intervient qu’en cas d’abus ou d’excès de ce pouvoir (ATF 145 IV 137 consid. 2.2). Le Tribunal fédéral n’intervient que s’il en a abusé, notamment lorsqu’il a omis de tenir compte de critères pertinents et s’est fondé exclusivement sur les antécédents du condamné (ATF 144 IV 277 consid. 3.1.1 ; ATF 134 IV 140 consid. 4.2 ; ATF 133 IV 201 consid. 2.3). Le défaut de prise de conscience de la faute peut justifier un pronostic défavorable, car seul celui qui se repent de son acte mérite la confiance que l’on doit pouvoir accorder au condamné bénéficiant du sursis (TF 6B_1457/2020 du 15 avril 2021 consid. 2.1 et les références citées). 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6B_183/2021 du 27 octobre 2021 consid. 2.1 ;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précité consid. 1.2 et les références citées).</w:t>
      </w:r>
    </w:p>
    <w:p>
      <w:r>
        <w:rPr>
          <w:b/>
        </w:rPr>
        <w:t>E. 4.3</w:t>
      </w:r>
    </w:p>
    <w:p>
      <w:r>
        <w:t>Au vu de la condamnation du 2 mars 2020 d’H.________, l’octroi du sursis s’examine sous l’angle de l’art. 42 al. 2 CP et n’est possible qu’en cas de circonstances particulièrement favorables. Il est vrai que l’appelant est au bénéfice d’un CFC de constructeur et travaille pour un revenu mensuel brut d’environ 5'500 fr., étant ainsi professionnellement intégré. Il a admis les faits de la présente cause et s’est excusé. En outre, il a remboursé ce qu’il devait à la victime ainsi qu’à son avocat et s’acquitte régulièrement du paiement de sa dette envers l’Etat. Le rapport d’évaluation du 4 juin 2020 de l’Office des sanctions et des mesures d’accompagnement du canton du Valais (P. 26/1/3) mentionnait que son comportement était bon en détention et qu’il était respectueux des règles. Il relevait également qu’il présentait un risque faible de réitération d’actes violents en cas d’octroi des congés élargis et du travail externe, ce d’autant plus qu’il observait une stricte abstinence à l’alcool, s’il ne côtoyait plus ses pairs délinquants, s’il s’investissait dans ses études, ainsi que dans une activité de loisirs structurante et positive. En outre, par décision du 12 août 2020, l’appelant a obtenu la libération conditionnelle à partir du 15 août 2020. Cela étant, comme indiqué plus haut, l’appelant a commis de nouvelles infractions à peine deux ans après l’obtention de cette libération et trois mois après l’échéance du délai de probation. De plus, il a déjà trois précédentes inscriptions à son casier judiciaire, soit une première pour délit contre la loi fédérale sur les armes, une deuxième pour agression et une troisième pour tentative de meurtre et rixe, infractions éminemment graves. Par ailleurs, dans le cas particulier, ce ne sont pas de simples négligences qui sont reprochées à l’appelant ; il a pris la fuite après avoir provoqué un accident, alors qu’il aurait été aisé de s’arrêter et de se montrer responsable. Ainsi, les éléments positifs relevés ci-dessus ne permettent pas d’affirmer que le pronostic est particulièrement favorable, dans la mesure où ils sont largement pondérés par de précédentes condamnations et par la culpabilité de l’appelant, qui n’est pas moindre. Une appréciation d’ensemble conduit par conséquent à refuser l’octroi du sursis.</w:t>
      </w:r>
    </w:p>
    <w:p>
      <w:r>
        <w:rPr>
          <w:b/>
        </w:rPr>
        <w:t>E. 5</w:t>
      </w:r>
    </w:p>
    <w:p>
      <w:r>
        <w:t>En définitive, l’appel d’H.________ doit être rejeté et le jugement entrepris intégralement confirmé. Les frais de la procédure d’appel, par 1’500 fr. (art. 20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