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360 vom 13. März 2023</w:t>
      </w:r>
    </w:p>
    <w:p>
      <w:r>
        <w:t>VD Tribunal cantonal, 2023-03-13, FR</w:t>
      </w:r>
    </w:p>
    <w:p>
      <w:r>
        <w:rPr>
          <w:b/>
        </w:rPr>
        <w:t xml:space="preserve">Quelle: </w:t>
      </w:r>
      <w:r>
        <w:t>https://mcp.opencaselaw.ch/entscheid/vd_findinfo_Jug___2023___360</w:t>
      </w:r>
    </w:p>
    <w:p>
      <w:r>
        <w:t>FR: VD_FINDINFO Jug / 2023 / 360 du 13 mars 2023</w:t>
      </w:r>
    </w:p>
    <w:p>
      <w:r>
        <w:t>IT: VD_FINDINFO Jug / 2023 / 360 del 13 marzo 2023</w:t>
      </w:r>
    </w:p>
    <w:p>
      <w:pPr>
        <w:pStyle w:val="Heading2"/>
      </w:pPr>
      <w:r>
        <w:t>Regeste</w:t>
      </w:r>
    </w:p>
    <w:p>
      <w:r>
        <w:t>MEURTRE, TENTATIVE{DROIT PÉNAL}, LÉSION CORPORELLE SIMPLE, RIXE, VOL{DROIT PÉNAL}, INFRACTION D'IMPORTANCE MINEURE, DOMMAGES À LA PROPRIÉTÉ{DROIT PÉNAL}, INJURE, MENACE{DROIT PÉNAL}, VIOLATION DE DOMICILE, VIOLENCE CONTRE LES AUTORITÉS | 106 CP, 123 ch. 1 CP, 123 ch. 2 al. 2 CP, 133 al. 1 CP, 144 al. 1 CP, 172ter ad 139 ch. 1 CP, 177 CP, 180 al. 1 CP, 186 CP, 19 al. 2 CP, 22 ad 111 CP, 285 ch. 1 CP, 34 CP, 59 CP, 69 CP</w:t>
      </w:r>
    </w:p>
    <w:p>
      <w:pPr>
        <w:pStyle w:val="Heading2"/>
      </w:pPr>
      <w:r>
        <w:t>Erwägungen</w:t>
      </w:r>
    </w:p>
    <w:p>
      <w:r>
        <w:rPr>
          <w:b/>
        </w:rPr>
        <w:t>E. 1.1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B.________ est recevable.</w:t>
      </w:r>
    </w:p>
    <w:p>
      <w:r>
        <w:rPr>
          <w:b/>
        </w:rPr>
        <w:t>E. 1.2</w:t>
      </w:r>
    </w:p>
    <w:p>
      <w:r>
        <w:t>Lorsqu’une partie dépose un appel et que la juridiction d’appel entre en matière, l’intégralité des griefs concernant l’indemnité doit être traité dans le cadre de l’appel (cf. CREP 16 octobre 2017/749 consid. 1.1 et les réf. citées, JdT 2018 III 3). Le recours de Me Julie Sottas portant sur l’indemnité d’office allouée par les premiers juges est recevable et doit ainsi être examiné par la Cour de céans.</w:t>
      </w:r>
    </w:p>
    <w:p>
      <w:r>
        <w:rPr>
          <w:b/>
        </w:rPr>
        <w:t>E. 1.3</w:t>
      </w:r>
    </w:p>
    <w:p>
      <w:r>
        <w:t>Selon l'art. 386 al. 2 let. a CPP, quiconque a interjeté un recours peut le retirer, s'agissant d'une procédure orale, avant la clôture des débats. Le Ministère public a indiqué, aux débats d’appel, retirer son appel au vu des conclusions de l’expertise complémentaire du 4 septembre 2023. Il doit en être pris acte.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TF 6B_1348/2017 précité consid. 1.1.3 ; TF 6B_346/2016 précité consid.</w:t>
      </w:r>
    </w:p>
    <w:p>
      <w:r>
        <w:rPr>
          <w:b/>
        </w:rPr>
        <w:t>E. 3</w:t>
      </w:r>
    </w:p>
    <w:p>
      <w:r>
        <w:t>Dans un premier moyen, l’appelant conteste la qualification de tentative de meurtre. Il fait valoir que des coups donnés de haut en bas au moyen des « lattes de métal » qu’il a utilisées, même si la victime ne parvient pas à se protéger avec les bras, ne sont pas propres à créer un réel danger pour la vie, « puisque la barre de fer atteindrait l’épaule et non la carotide ». L’appelant estime que les barres de fer qu’il a utilisées doivent être distinguées d’une barre à mine, au vu de leur nature souple et légère, impropres à causer des fractures osseuses, l’angle de frappe ne pouvant selon lui provoquer qu’une atteinte corporelle. Admettant que l’angle des coups qu’il a portés aurait pu permettre d’atteindre la carotide, l’appelant estime toutefois que l’objet utilisé n’était pas susceptible de provoquer des lésions mortelles au niveau du cou ou de la tête, la profondeur des plaies constatées au niveau du bras d’A.H.________ n’étant pas supérieure à 2-3 mm au vu du rapport médical (P. 86) et des déclarations de son fils (PV aud. 2, p. 3). L’appelant relève enfin que les faits dénoncés dans l’acte d’accusation ne permettraient pas de retenir que la victime aurait pu être touchée au niveau du cou.</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w:t>
      </w:r>
    </w:p>
    <w:p>
      <w:r>
        <w:rPr>
          <w:b/>
        </w:rPr>
        <w:t>E. 3.1.3</w:t>
      </w:r>
    </w:p>
    <w:p>
      <w:r>
        <w:t>Aux termes de l'art. 111 CP, celui qui aura intentionnellement tué une personne sera puni d'une peine privative de liberté de cinq ans au moins, en tant que les conditions prévues aux art. 112 à 117 CP ne seront pas réalisées.</w:t>
      </w:r>
    </w:p>
    <w:p>
      <w:r>
        <w:rPr>
          <w:b/>
        </w:rPr>
        <w:t>E. 3.1.4</w:t>
      </w:r>
    </w:p>
    <w:p>
      <w:r>
        <w:t>Selon l'art. 12 al. 2 CP, agit intentionnellement quiconque commet un crime ou un délit avec conscience et volonté. On distingue communément le dessein (ou dol direct de premier degré), le dol simple (ou dol direct de deuxième degré) et le dol éventuel (Dupuis et al. [éd.], Petit Commentaire, Code pénal, 2 e éd., Bâle 2017, n. 10 ad art. 12 CP et les références citées). Ces trois formes correspondent à un comportement intentionnel au sens de l'art. 12 al. 2 CP (ibidem).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références citées).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JdT 1995 IV 130). Ces deux formes du dol ne se distinguent qu’en ce qui concerne ce que sait l’auteur, qui considère le résultat comme certain dans le second cas et comme hypothétique dans le premier, mais non sur le plan de la volonté (ATF 98 IV 65 consid. 4).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Petit Commentaire, Code pénal, op. cit.,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 9 consid. 4.1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w:t>
      </w:r>
    </w:p>
    <w:p>
      <w:r>
        <w:rPr>
          <w:b/>
        </w:rPr>
        <w:t>E. 3.1.5</w:t>
      </w:r>
    </w:p>
    <w:p>
      <w:r>
        <w:t>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rPr>
          <w:b/>
        </w:rPr>
        <w:t>E. 3.2</w:t>
      </w:r>
    </w:p>
    <w:p>
      <w:r>
        <w:t>et les références citées).</w:t>
      </w:r>
    </w:p>
    <w:p>
      <w:r>
        <w:rPr>
          <w:b/>
        </w:rPr>
        <w:t>E. 4</w:t>
      </w:r>
    </w:p>
    <w:p>
      <w:r>
        <w:t>Fondé sur la prémisse de son acquittement du chef de tentative de meurtre, l’appelant conteste la peine prononcée à son encontre. Il reproche aux premiers juges de ne pas avoir correctement tenu compte de sa diminution de responsabilité pénale en lien avec ses troubles psychiques.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4.1.2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4.1.3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4.2</w:t>
      </w:r>
    </w:p>
    <w:p>
      <w:r>
        <w:t>En l’espèce, les premiers juges ont considéré que la culpabilité de l’appelant était en première analyse très lourde. A charge, ils ont retenu qu’il était obnubilé par des conceptions erronées qu’il se refusait à remettre en cause, entretenant en lui une haine injustifiée envers ses voisins. Seule sa personne et ses propres intérêts comptait à ses yeux et autrui n’avait aucune valeur s’il était en travers de son chemin, même pour tenter de le secourir. Cela le poussait à mépriser jusqu’à la vie de qui le contrecarrait, même si y attenter n’était pas son but premier. Les biens visés au cas n° 6 de l’acte d’accusation (cf. ch. 2.6 supra) constituaient les plus élevés de l’ordre juridique, à savoir la vie et l’intégrité corporelle, et si le premier de ces biens n’avait pas été atteint, c’était en raison du hasard et de la réaction de la victime. L’intensité délictuelle était élevée ; elle concernait une période relativement longue et portait sur une multiplicité d’infractions, avec de mauvais antécédents. Les perspectives d’avenir de l’appelant ont été considérées comme peu favorables au vu des obsessions qu’il se refusait à lâcher, démontrant une absence totale de prise de conscience. Enfin, il y avait eu répétition dans le temps et commission simultanée d’infractions, en concours, la plus grave étant la tentative de meurtre par dol éventuel. A décharge, les premiers juges ont tenu compte des conclusions des experts (P. 128 p. 16 et P. 180), pour retenir une diminution moyenne de la responsabilité pénale de l’appelant et considérer que sa responsabilité était de moyenne à lourde pour toutes les infractions retenues à son encontre (cf. jgmt, pp. 51-52). Cette appréciation ne prête pas le flanc à la critique et doit être confirmée. En effet, la culpabilité de l’appelant est très lourde. Il est reconnu coupable de tentative de meurtre, de lésions corporelles simples qualifiées, de rixe (cf. ch. 2.6 supra), de vols d’importance mineure et de dommages à la propriété d’importance mineure (cf. ch. 2.3, 2.4, 2.5 et 2.6 supra), d’injure (cf. ch. 2.2, 2.6 et 2.7 supra), de menaces (cf. ch. 2.1, 2.2 et 2.6 supra), de violation de domicile (cf. ch. 2.3, 2.4, 2.5 et 2.6 supra) et de violence ou menace contre les autorités et les fonctionnaires (cf. ch. 2.7 et 2.8 supra). Les infractions sont en concours. La responsabilité pénale de l’appelant est moyennement diminuée. La réduction à opérer conduit par conséquent à retenir une faute moyenne à grave. Compte tenu des autres critères applicables à la fixation de la peine, tels qu’ils ont été énoncés par les premiers juges, la peine de base, soit celle devant sanctionner la tentative de meurtre par dol éventuel, justifie une peine privative de liberté de 24 mois. Par l’effet du concours, il convient d’ajouter à cette peine 5 mois pour les lésions corporelles simples qualifiées, 4 mois pour la rixe, 1 mois pour chacune des trois menaces retenues, soit un total de 3 mois, 1 mois pour chaque cas de violences et menaces contre les autorités et les fonctionnaires, soit 2 mois au total, et enfin 15 jours pour chacune des quatre violations de domicile, soit 2 mois au total, ce qui correspond au 40 mois prononcés par les premiers juges. Il convient en outre de confirmer la peine pécuniaire de 40 jours-amende à 30 fr. le jour sanctionnant les injures, ainsi que l’amende de 600 fr. prononcée pour punir les infractions d’importance mineurs contre le patrimoine, la peine privative de liberté de substitution étant arrêtée à 6 jours, l’appelant ne contestant du reste pas ces sanctions.</w:t>
      </w:r>
    </w:p>
    <w:p>
      <w:r>
        <w:rPr>
          <w:b/>
        </w:rPr>
        <w:t>E. 5</w:t>
      </w:r>
    </w:p>
    <w:p>
      <w:r>
        <w:t>L’appelant conteste la mesure d’internement prononcée contre lui, estimant pouvoir être soigné, ce qui exclurait une mesure aussi extrême.</w:t>
      </w:r>
    </w:p>
    <w:p>
      <w:r>
        <w:rPr>
          <w:b/>
        </w:rPr>
        <w:t>E. 5.1.1</w:t>
      </w:r>
    </w:p>
    <w:p>
      <w:r>
        <w:t>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L'internement fondé sur l'art.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L'atteinte grave (portée ou voulue) à l'intégrité physique, psychique ou sexuelle d'un tiers vaut tant pour les infractions citées dans le catalogue que pour celles qui sont visées par la clause générale de l'art. 64 al. 1 CP. Pour juger de la gravité de l'atteinte, il convient de se fonder sur un critère objectif et de se demander si, selon l'expérience générale de la vie, l'acte en question est propre à entraîner un traumatisme chez la victime (ATF 139 IV 57 consid. 1.3.3).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(cf. ATF 140 IV 1 consid. 3.2.4 ; ATF 134 IV 315 consid. 3.2).</w:t>
      </w:r>
    </w:p>
    <w:p>
      <w:r>
        <w:rPr>
          <w:b/>
        </w:rPr>
        <w:t>E. 5.1.2</w:t>
      </w:r>
    </w:p>
    <w:p>
      <w:r>
        <w:t>Aux termes de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consid. 3.4.1).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6B_1348/2017 du 22 janvier 2018 consid. 1.1.2 ; TF 6B_954/2016 du 28 septembre 2017 consid. 1.1.2 ; TF 6B_1307/2015 du 9 décembre 2016 consid. 4.1.3).</w:t>
      </w:r>
    </w:p>
    <w:p>
      <w:r>
        <w:rPr>
          <w:b/>
        </w:rPr>
        <w:t>E. 5.1.3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(TF 6B_1348/2017 précité consid. 1.1.3 ; TF 6B_346/2016 du 31 janvier 2017 consid. 3.2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w:t>
      </w:r>
    </w:p>
    <w:p>
      <w:r>
        <w:rPr>
          <w:b/>
        </w:rPr>
        <w:t>E. 5.2</w:t>
      </w:r>
    </w:p>
    <w:p>
      <w:r>
        <w:t>Pour justifier la mesure d’internement, les premiers juges ont tout d’abord indiqué, exemples à l’appui, que l’appelant manifestait un sentiment de rage intense à l’égard de tous ceux qui l’avaient privé de son jardin et plus encore contre quiconque y avance un pied, décrivant ce sentiment comme viscéralement ancré en lui. Le Tribunal correctionnel a pu mesurer l’ampleur de la colère éprouvée par l’appelant qu’il a dû expulser de la salle d’audience lors du réquisitoire, après un avertissement. Admettant que l’appelant ne nourrissait pas d’intention homicide déterminée et actuelle, les premiers juges ont toutefois constaté qu’aussitôt le sentiment d’injustice ravivé, en particulier au sujet du jardin, l’appelant perdait tout contrôle de lui-même et se déchaînait, cette agressivité demandant toujours plus d’énergie avec le temps pour être contenue. Les premiers juges ont ensuite rappelé que les experts parvenaient au même constat, estimant que le conflit avec les voisins reprendrait une fois l’appelant de retour chez lui. Quant au risque élevé de récidive, tel qu’il a été évalué par les experts, les premiers juges ont indiqué qu’il était confirmé par l’extrait du casier judiciaire de l’appelant. En définitive, ils ont considéré qu’un internement devait être prononcé au vu du risque très élevé que l’appelant s’en prenne à nouveau à ses voisins, pour les mêmes raisons et selon le même mode, ce d’autant qu’à l’audience encore il n’avait montré qu’un intérêt de façade pour un suivi psychothérapeutique (cf. jgmt, pp. 54-56). Cette appréciation doit être nuancée. En effet, en dépit du caractère incertain de la réussite d’un suivi psychothérapeutique et de la durée nécessairement longue de celui-ci, les experts ont recommandé la mise en œuvre d’un traitement ambulatoire en vue de réduire le risque élevé de récidive présenté par l’appelant. Cette possibilité de traitement interdit le prononcé d’une mesure d’internement qui doit constituer l’ ultima ratio , dès lors qu’une perspective de guérison n’est pas exclue à ce stade. Il convient cependant de s’écarter de la position des experts préconisant un traitement ambulatoire. En effet, au vu des nombreuses lettres préoccupantes que l’appelant envoie depuis qu’il est en détention et de son attitude de profond déni aux débats de première instance, mais également aux débats d’appel – l’appelant indiquant que s’il fallait qu’un traitement ambulatoire soit suivi, il le serait mais que le problème ne résidait pas là – la Cour de céans partage la position des premiers juge selon laquelle une récidive d’actes violents est d’ores et déjà programmée dès que l’appelant se retrouvera confronté à ses voisins à sa sortie de prison. En l’état, un retour à domicile de l’appelant apparaît tout simplement inenvisageable et un simple traitement ambulatoire impropre à contenir une récidive face à un patient anosognosique tel que l’appelant, ce d’autant que les experts eux-mêmes estiment que des évaluations régulières du risque de récidive devraient être faites par un médecin expérimenté (P. 128, p. 20), ce qui paraît concrètement inapplicable, sauf à vouloir reporter la responsabilité de l’analyse de la dangerosité d’un individu sur un praticien privé, alors que cette analyse ressort des autorités pénitentiaires ou judiciaires, assistées d’experts spécialistes. En l’occurrence, la dangerosité de l’appelant est avérée et l’ensemble des éléments à disposition (déclarations de l’appelant en procédure et ses courriers, ainsi que l’expertise psychiatrique) démontre que cette dangerosité ne saurait, à tout le moins dans un premier temps, être prise en charge, respectivement jugulée, par un simple traitement ambulatoire, étant précisé que l’importance des troubles et de la dangerosité ne laisse pas prévoir d’amélioration possible dans le délai de 2 mois, prévu par l’art. 63 al. 3 CP, ce d’autant que la durée d’incarcération, totalisant plus de 2 ans, n’a exercé aucune influence significative sur sa perception des évènements et sa manière d’envisager l’avenir, en particulier son conflit de voisinage. Compte tenu de la gravité du trouble mental de l’appelant, de la haine qu’il continue à ressentir envers ses voisins et de sa dangerosité, la Cour de céans parvient ainsi à la conclusion que seul un traitement institutionnel au sens de l’art. 59 CP est susceptible de limiter efficacement le risque de récidive.</w:t>
      </w:r>
    </w:p>
    <w:p>
      <w:r>
        <w:rPr>
          <w:b/>
        </w:rPr>
        <w:t>E. 6</w:t>
      </w:r>
    </w:p>
    <w:p>
      <w:r>
        <w:t>Conformément à l’art. 51 CP, la détention pour des motifs de sûreté subie par B.________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du risque de réitération (art. 221 al. 1 let. c CPP), qualifié d’élevé par les experts.</w:t>
      </w:r>
    </w:p>
    <w:p>
      <w:r>
        <w:rPr>
          <w:b/>
        </w:rPr>
        <w:t>E. 7</w:t>
      </w:r>
    </w:p>
    <w:p>
      <w:r>
        <w:t>Me Julie Sottas conteste le montant de l’indemnité d’office allouée par les premiers juges à hauteur de 15'948 fr. 20. Elle leur reproche notamment d’avoir retranché 10 heures au temps annoncé pour la préparation de l’audience de première instance et celui qui a été décompté pour la tenue de cette audience, concluant à l’allocation d’un montant de 18'019 fr. 05, correspondant aux 82 heures de travail dans la liste produite aux débats de première instance (P. 237/1, annexe 3).</w:t>
      </w:r>
    </w:p>
    <w:p>
      <w:r>
        <w:rPr>
          <w:b/>
        </w:rPr>
        <w:t>E. 7.1</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7.2</w:t>
      </w:r>
    </w:p>
    <w:p>
      <w:r>
        <w:t>En l’espèce, sur les 82 heures annoncées par l’avocate, 10 heures ont été retranchées par les premiers juges qui ont supprimé 1h15 de temps d’audience et, par déduction, 8h45 de préparation d’audience (cf. jgmt, p. 60). La Cour de céans constate tout d’abord que Me Julie Sotas a remplacé un précédant défenseur d’office qui n’est pas parvenu à conserver une relation de confiance avec son client. La procédure concerne en outre une affaire criminelle dont les enjeux sont d’une importance certaine. Selon le procès-verbal des opérations, l’audience de lecture du 13 mars 2023 a duré 49 minutes. Si l’on tient compte de ce que Me Sottas a travaillé son dossier lors de la pause de midi et qu’elle a vu son client en cellule, le temps de 8 heures que l’avocate a annoncé pour la journée d’audience du 9 mars 2023 doit être admis. Si l’on prend en compte un entretien avec le client après l’audience de lecture, le temps annoncé par Me Sottas pour le lundi 13 mars 2023 est également adéquat. Il convient dès lors de restituer à l’avocate 1h15 pour son activité lors des deux jours en question. S’agissant du temps consacré à la préparation de l’audience, Me Sottas a annoncé 19h de travail du 8 février au 8 mars 2023 (0h30, 4h00, 2h00, 5h00, 4h00, 3h30), ce qui paraît effectivement excessif, étant rappelé qu’elle a été nommée en juin 2022, soit bien avant l’audience de jugement. Elle mentionne 6h20 d’étude du dossier entre le 7 et le 23 juin 2022, soit en début de mandat (0h15 le 7 juin 2022, 1h45 et 1h15 le 13 juin 2022, 1h50 le 14 juin 2022 et 1h15 le 23 juin 2022), ce qui est adéquat. Sur les 19h de temps consacré à la préparation de l’audience de jugement, il convient ainsi de retrancher 7 heures pour ne retenir en définitive que 12 heures, soit un jour et demi de travail. Compte tenu de ce qui précède, 75 heures d’activité peuvent être admis pour la procédure de première instance. Au tarif horaire de 180 fr. les honoraires de première instance s’élèvent ainsi à 13'500 fr. (75 x 180.-), auxquels s’ajoutent des débours forfaitaires de 5% (art. 3bis al. 1 RAJ par renvoi de l'art. 26a al. 6 TFIP), par 675 fr.,</w:t>
      </w:r>
    </w:p>
    <w:p>
      <w:r>
        <w:rPr>
          <w:b/>
        </w:rPr>
        <w:t>E. 10</w:t>
      </w:r>
    </w:p>
    <w:p>
      <w:r>
        <w:t>vacations forfaitaires par 1'200 fr., et la TVA à 7,7% sur le tout, par 1'183 fr. 90, soit un total de 16'558 fr. 90. 8. 8.1 Au vu de ce qui précède, l’appel de B.________ et le recours de Me Justine Sottas doivent être partiellement admis, le jugement entrepris étant réformé dans le sens des considérants qui précèdent. 8.2 Me Julie Sottas a produit en audience une liste d’opérations pour la procédure d’appel, faisant état d’une activité de 30 heures et 45 minutes (P. 283), ce qui peut être admis sous réserve de la durée effective de l’audience d’appel qui sera ramenée à 1 heure en lieu et place des 2 heures et 30 minutes estimées dans la liste d’opérations. On retiendra ainsi une activité de 29 heures et 15 minutes. Au tarif horaire de 180 fr., cela correspond à des honoraires de 5'265 fr., auxquels s’ajoutent des débours forfaitaires de 2%, par 105 fr. 30, une vacation de 120 fr. et la TVA sur le tout, par 422 fr. 75, soit une indemnité d’office totale de 5'913 fr. 05. 8.3 Le défenseur d’office qui recourt en son propre nom a droit à des honoraires, calculés sur la base du tarif horaire prévu pour l’activité déployée dans le cadre d’un mandat d’office (Ruckstuhl, in : Basler Kommentar, op. cit., nn. 16 et 18 ad ad art. 135 CPP ; Juge unique CREP 14 septembre 2020/705 consid. 3 et les réf. citées). Me Julie Sottas a conclu à l’allocation en sa faveur d’une indemnité de 405 fr. 70. TVA et débours inclus, correspondant à 2 heures de travail en relation avec la rédaction de son recours, ce qui est adéquat. C’est ainsi une indemnité de 405 fr. 70 qui sera allouée. Le chiffre VII du dispositif du jugement de la Cour d’appel communiqué aux parties le 12 septembre 2023 comporte une omission manifeste en ce sens que le montant de l’indemnité allouée à Me Julie Sottas correspondant aux opérations effectuées en son nom propre dans le cadre du recours n’y figure pas. Le dispositif sera rectifié d’office en application de l’art. 83 CPP, l’indemnité de 405 fr. 70 sera due par l’Etat. 8.4 A défaut d’avoir chiffré ses prétentions ou conclusions alors qu’il avait été invité à le faire dans la convocation à l’audience d’appel, A.H.________ ne peut prétendre à aucune indemnité au sens de l’art. 433 al. 2 CPP pour la procédure d’appel. 8.5 Vu l’issue de la cause, les frais de la procédure d’appel, par 10'023 fr. 05 constitués des émoluments de jugement et d’audience (art. 21 al. 1 et 2 TFIP), par 4’110 fr. ainsi que de l’indemnité d’office de 5'913 fr. 05, seront mis par trois quarts, soit par 7’517 fr. 30, à la charge de B.________, le solde étant laissé à la charge de l’Etat. B.________ ne sera tenu de rembourser à l’Etat les trois quarts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