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346 vom 31. August 2023</w:t>
      </w:r>
    </w:p>
    <w:p>
      <w:r>
        <w:t>VD Tribunal cantonal, 2023-08-31, FR</w:t>
      </w:r>
    </w:p>
    <w:p>
      <w:r>
        <w:rPr>
          <w:b/>
        </w:rPr>
        <w:t xml:space="preserve">Quelle: </w:t>
      </w:r>
      <w:r>
        <w:t>https://mcp.opencaselaw.ch/entscheid/vd_findinfo_Jug___2023___346</w:t>
      </w:r>
    </w:p>
    <w:p>
      <w:r>
        <w:t>FR: VD_FINDINFO Jug / 2023 / 346 du 31 août 2023</w:t>
      </w:r>
    </w:p>
    <w:p>
      <w:r>
        <w:t>IT: VD_FINDINFO Jug / 2023 / 346 del 31 agosto 2023</w:t>
      </w:r>
    </w:p>
    <w:p>
      <w:pPr>
        <w:pStyle w:val="Heading2"/>
      </w:pPr>
      <w:r>
        <w:t>Regeste</w:t>
      </w:r>
    </w:p>
    <w:p>
      <w:r>
        <w:t>PEINE PRIVATIVE DE LIBERTÉ, FIXATION DE LA PEINE, CONCOURS D'INFRACTIONS, AMENDE, DISPOSITIONS PÉNALES DE LA LCR, TENTATIVE{DROIT PÉNAL}, VIOLATION DES RÈGLES DE LA CIRCULATION | 106 CP, 22 al. 1 CP, 40 CP, 47 CP, 49 ch. 1 CP, 90 al. 1 LCR, 90 al. 2 LCR, 91a al. 1 LCR, 92 al. 1 LCR</w:t>
      </w:r>
    </w:p>
    <w:p>
      <w:pPr>
        <w:pStyle w:val="Heading2"/>
      </w:pPr>
      <w:r>
        <w:t>Erwägungen</w:t>
      </w:r>
    </w:p>
    <w:p>
      <w:r>
        <w:rPr>
          <w:b/>
        </w:rPr>
        <w:t>E. 1</w:t>
      </w:r>
    </w:p>
    <w:p>
      <w:r>
        <w:t>Interjetés dans les formes et délais légaux (art. 399 et 401 CPP), contre le jugement d’un tribunal de première instance qui a clos la procédure (art. 398 al. 1 CPP), par la prévenue qui a la qualité pour recourir (art. 382 al. 1 CPP), l’appel de I.________ est recevable.</w:t>
      </w:r>
    </w:p>
    <w:p>
      <w:r>
        <w:rPr>
          <w:b/>
        </w:rPr>
        <w:t>E. 1.1</w:t>
      </w:r>
    </w:p>
    <w:p>
      <w:r>
        <w:t>; ATF 144 IV 345 précité).</w:t>
      </w:r>
    </w:p>
    <w:p>
      <w:r>
        <w:rPr>
          <w:b/>
        </w:rPr>
        <w:t>E. 2</w:t>
      </w:r>
    </w:p>
    <w:p>
      <w:r>
        <w:t>Aux termes de l’art. 398 CPP, la juridiction d’appel jouit d’un plein pouvoir d’examen sur tous les points attaqués du jugement (al. 2). L’appel peut être formé pour (let. a) violation du droit, y compris l’excès et l’abus du pouvoir d’appréciation, le déni de justice et le retard injustifié, (let. b) constatation incomplète ou erronée des faits et (let.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w:t>
      </w:r>
    </w:p>
    <w:p>
      <w:r>
        <w:t>A titre de mesure d’instruction, l’appelante a requis la mise en œuvre d’une expertise technique pour déterminer laquelle des versions contradictoires de Q.________ ou de la sienne serait corroborée par les faits, le but étant d’examiner les dégâts causés aux deux véhicules pour déterminer les circonstances de l’accident. Elle soutient que l’administration des preuves concernant cet accident était incomplète pour fonder une condamnation.</w:t>
      </w:r>
    </w:p>
    <w:p>
      <w:r>
        <w:rPr>
          <w:b/>
        </w:rPr>
        <w:t>E. 3.2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réf. cit.).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réf. cit., JdT 2015 I 115).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w:t>
      </w:r>
    </w:p>
    <w:p>
      <w:r>
        <w:rPr>
          <w:b/>
        </w:rPr>
        <w:t>E. 3.3</w:t>
      </w:r>
    </w:p>
    <w:p>
      <w:r>
        <w:t>Les dégâts sur les deux véhicules sont relativement importants, ce qui n’est pas surprenant s’agissant d’un contact à plus de 100 km/h. Ces dommages concernent l’entier du côté gauche de la carrosserie du véhicule de Q.________, y compris le rétroviseur, et l’entier du côté droit du véhicule de l’appelante, rétroviseur compris également. En outre l’aile arrière droite de la voiture de l’appelante comportait un enfoncement avec une entaille repliée vers l’arrière. Quant au véhicule de Q.________, celui-ci comportait également un enfoncement situé sur la portière arrière gauche, avec une entaille dans la carrosserie repliée vers l’avant (P. 12, p. 3, 17 et 18). Les policiers ont conclu que les enfoncements dans les deux carrosseries (l’un replié vers l’avant et l’autre vers l’arrière) permettaient de prouver que la voiture BMW X3 de l’appelante avait heurté et frotté la voiture VW Tiguan de Q.________ (P. 12, p. 3). Cette conclusion est toutefois hâtive, le sens différent dans lequel les carrosseries ont été pliées autorisant uniquement de conclure que le véhicule conduit par l’appelante roulait plus vite que celui de Q.________, sans que l’on puisse formuler d’hypothèse fiable sur le fait de savoir qui avait effectué la manœuvre litigieuse en direction de l’autre et provoqué ainsi les dégâts constatés. Pour autant, les éléments de preuve à disposition au dossier, pris dans leur ensemble, permettent de considérer qu’il n’existe aucun doute raisonnable sur le fait que le comportement de l’appelante est bien à l’origine de l’accident en cause, sans nécessiter d’expertise. Il est établi par les déclarations des policiers qui se sont mis à la poursuite du véhicule de l’appelante que celle-ci a tout mis en œuvre pour leur échapper, les agents ayant notamment accepté de se laisser distancer pour réduire les risques d’intervention (P. 11, p. 2). Le comportement adopté par l’appelante peu après l’accident est à ce point caractéristique d’une personne cherchant à échapper à ses responsabilités qu’il signe déjà par sa nature sa culpabilité, dès lors qu’elle ne fournit pas la moindre raison crédible à même de justifier les multiples manœuvres qu’elle a réalisées pour éviter son interpellation. L’appelante se contente de dire qu’elle a tout d’abord été choquée par l’accrochage survenu sur l’autoroute, n’osant s’arrêter, qu’elle n’a ensuite pas remarqué la présence d’un véhicule de police à la sortie de Cossonay et enfin qu’elle n’a pas pensé être concernée par le véhicule de police qui lui faisait face, qui débordait, selon elle, un peu sur sa voie de circulation et qu’elle admet avoir contourné (cf. jugement, p. 4 ; PV aud. 1 ; PV aud. 3, l. 58 à 63). On rappellera qu’il était 01h50 et qu’elle admet elle-même qu’il n’y avait personne sur la route lorsqu’elle a quitté l’autoroute à la sortie de Cossonay : « Je ne roulais pas à une vitesse spécifique, il n’y avait personne. A 1h50 du matin, il n’y avait pas grand monde, de mémoire personne. » (cf. jugement, ibidem). Dans ces circonstances, il est parfaitement impossible de concevoir qu’elle n’aurait pas perçu l’ensemble des attributs enclenchés sur le véhicule de police en question (feux bleus, klaxon et matrice « Stop POLICE » ; P. 11, p. 2), ni qu’elle ne se serait pas sentie concernée par celui-ci, étant donné l’absence d’autres usagers de la route sur les lieux, l’accident survenu sur l’autoroute quelques minutes plus tôt dans lequel elle était directement impliquée et son attitude face à ce même véhicule de police lorsqu’elle s’est retrouvée par la suite face à lui. Il ressort également du rapport de police, que l’appelante n’a pas simplement contourné le véhicule qui lui faisait face, tous les attributs enclenchés, à la hauteur de l’intersection entre la route de Lausanne et le chemin des Etangs, mais qu’elle a accéléré fortement, montant en partie avec sa propre voiture sur le trottoir et faisant crisser ses pneus (P. 11, p. 2). Cette manœuvre trahit à elle seule, et de manière caractérisée, son intention d’échapper au contrôle de police. Cette intention ne s’explique que par la volonté de ne pas avoir à assumer les conséquences de l’accident dont elle se savait responsable. Les déclarations de l’appelante sont donc dépourvues de toute crédibilité. Les tentatives d’explication aux débats d’appel ne sont pas plus convaincantes, celle-ci tentant d’attribuer son comportement à des réactions inconscientes ou à ses difficultés personnelles (cf. supra p. 3). Quant à Q.________, le fait qu’il ait immédiatement contacté la police pour dénoncer les événements dont il avait été victime, alors que l’appelante poursuivait sa route sans autre formalité, vient conforter la crédibilité de ses déclarations. A cela s’ajoute que le prénommé n’a aucune raison de dénoncer faussement l’appelante, qu’il ne connaissait pas. Enfin, on rappellera que cette dernière a déjà fait l’objet d’une condamnation en 2020 pour des faits similaires (accident survenu sur l’autoroute après une manœuvre dangereuse sans s’arrêter pour s’identifier auprès du lésé ou de la police ; P. 22) et que les inscriptions figurant à son ficher SIAC mentionnent deux retraits de permis en 2010 et 2020 qui ne plaident pas en sa faveur. La fuite de l’appelante ne trouve ainsi pas d’autre explication logique qu’une tentative désespérée d’échapper à ses responsabilités par rapport à l’accident qu’elle avait provoqué. La réquisition de preuve sollicitée par I.________ n’est pas susceptible de remettre en question cette appréciation et doit en conséquence être rejetée.</w:t>
      </w:r>
    </w:p>
    <w:p>
      <w:r>
        <w:rPr>
          <w:b/>
        </w:rPr>
        <w:t>E. 4.1</w:t>
      </w:r>
    </w:p>
    <w:p>
      <w:r>
        <w:t>L’appelante se plaint de ce que l’autorité de première instance se serait contentée d’examiner la crédibilité des déclarations de Q.________ sans la mettre au bénéfice de la présomption d’innocence. Elle fait valoir qu’en l’absence de toute expertise technique sur les dégâts causés aux deux véhicules, un doute subsisterait sur la responsabilité du conducteur les ayant provoqués.</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w:t>
      </w:r>
    </w:p>
    <w:p>
      <w:r>
        <w:rPr>
          <w:b/>
        </w:rPr>
        <w:t>E. 4.3</w:t>
      </w:r>
    </w:p>
    <w:p>
      <w:r>
        <w:t>Pour les raisons précédemment mentionnées (cf. supra consid. 3.3), l’ensemble des éléments amène à considérer, sans le moindre doute, que l’appelante est seule responsable de l’accident survenu sur l’autoroute. En particulier, les déclarations de Q.________ ne sont pas à elles-seules déterminantes et, comme on l’a vu, une expertise technique des véhicules en cause est superflue, les faits dénoncés contre I.________ étant ainsi établis à satisfaction.</w:t>
      </w:r>
    </w:p>
    <w:p>
      <w:r>
        <w:rPr>
          <w:b/>
        </w:rPr>
        <w:t>E. 5.1</w:t>
      </w:r>
    </w:p>
    <w:p>
      <w:r>
        <w:t>Sans remettre en question le fait que sa culpabilité soit lourde, l’appelante conteste fermement l’absence de prise de conscience retenue par le premier juge comme élément à charge et qu’elle se soit positionnée en tant que victime. Elle soutient que les conditions nécessaires au prononcé d’une peine privative de liberté ferme ne seraient pas réunies, relevant que son âge et l’effet de la peine sur son avenir n’auraient pas été suffisamment examinés. Elle considère que la peine devrait être réduite et que le sursis devrait lui être accordé.</w:t>
      </w:r>
    </w:p>
    <w:p>
      <w:r>
        <w:rPr>
          <w:b/>
        </w:rPr>
        <w:t>E. 5.2.1</w:t>
      </w:r>
    </w:p>
    <w:p>
      <w:r>
        <w:t>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Le juge doit éviter des sanctions qui pourraient détourner l’intéressé d’une évolution souhaitable. Cela étant, l’effet de la peine sur l’avenir du condamné, en tant qu’élément de prévention spéciale, ne permet que des corrections marginales, la peine devant toujours restée proportionnée à la faute (TF 6B_889/2010 du 24 mai 2011 consid. 3.3 et les réf. cit.).</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5.2.3</w:t>
      </w:r>
    </w:p>
    <w:p>
      <w:r>
        <w:t>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5.3</w:t>
      </w:r>
    </w:p>
    <w:p>
      <w:r>
        <w:t>La Cour de céans fera sienne l’appréciation du premier juge sur la lourde culpabilité de l’appelante (cf. jugement, p. 14, consid. 3 ; art. 82 al. 4 CPP). Les antécédents et l’attitude de déni dans lequel elle s’enferme quant à la responsabilité de ses actes démontrent qu’elle ne s’est toujours pas remise en question, persistant à adopter une posture victimaire, alors même qu’elle a déjà été condamnée pour des faits similaires en 2020. La prise de conscience de la gravité des infractions commises et inexistante, l’appelante ne formulant aucun regret alors que l’accident aurait pu avoir des conséquences dramatiques. Les peines pécuniaires prononcées en 2020 et 2021 n’ont eu aucun effet préventif quelconque sur le comportement de l’appelante, qui récidive en matière de circulation routière pour la troisième fois. Ce mode de sanction est manifestement dépourvu d’effet dissuasif en ce qui la concerne. Une peine privative de liberté s’impose donc pour des raisons de prévention spéciale, ce d’autant que les comportements reprochés sont graves. Quant à l’effet de la peine sur l’avenir de l’appelante, on relève qu’elle n’exerce pas d’activité lucrative, que son entretien est assuré par la pension versée par son époux et qu’elle n’a personne à charge, de sorte que le prononcé d’une peine privative de liberté n’est pas de nature à compromettre son évolution. La peine d’ensemble prononcée par le Tribunal de première instance de 9 mois est adéquate et sera confirmée, soit 8 mois pour la violation grave des règles de la circulation routière, augmentés d’un mois pour la tentative d’entrave aux mesures de constatation de l’incapacité de conduire. Le pronostic quant au comportement futur de l’appelante apparaît entièrement défavorable compte tenu des récidives spéciales commises postérieurement aux condamnations récentes prononcées en 2020 et 2021, ainsi que son absence de prise de conscience en lien avec les faits concernés par la présente affaire. Elle persiste en effet à contester l’évidence. A la suivre, son comportement routier serait irréprochable, ou tout au plus justifiable compte tenu de sa situation personnelle. Dans ces conditions, l’octroi du sursis est exclu. Le montant de l’amende, fixé à 900 fr. par le premier juge pour sanctionner la violation simple des règles de la circulation routière et la violation des obligations en cas d’accident, n’est pas remis en question par l’appelante. Devant être examiné d’office, il est adéquat et peut être confirmé, tout comme la peine privative de liberté de substitution de 9 jours.</w:t>
      </w:r>
    </w:p>
    <w:p>
      <w:r>
        <w:rPr>
          <w:b/>
        </w:rPr>
        <w:t>E. 6</w:t>
      </w:r>
    </w:p>
    <w:p>
      <w:r>
        <w:t>En définitive, l’appel doit être rejeté et le jugement entrepris confirmé. Les frais de la procédure d’appel, par 1’830 fr. (art. 20 al. 1 TFIP [tarif des frais de procédure et indemnités en matière pénale du 28 septembre 2010 ; BLV 312.03.1]), seront mis à la charge de l’appelante, qui succombe (art. 428 al. 1 CPP). La Cour d’appel pénale appliquant les articles 40, 47, 49 al. 1, 106 CP, 90 al. 1 et 2, 22 al. 1 CP ad 91a al. 1 et 92 al. 1 LCR, 398 ss et 426 ss CPP, prononce : I. L’appel est rejeté. II. Le jugement rendu le 1 er mai 2023 par le Tribunal de police de l’arrondissement de l’Est vaudois est confirmé selon le dispositif suivant : "I. condamne I.________ pour violation simple et grave des règles de la circulation routière, tentative d’entrave aux mesures de constatation de l’incapacité de conduire et violation des obligations en cas d’accident à une peine privative de liberté de 9 (neuf) mois et à une amende de 900 (neuf cents) fr., la peine privative de liberté de substitution étant de 9 (neuf) jours ; II. met les frais de la cause, fixés à 1'675 fr., à la charge de I.________." III. Les frais d'appel, par 1'830 fr. (mille huit cent trente francs), sont mis à la charge de I.________. Le président :              Le greffier : Du Le jugement qui précède, dont le dispositif a été communiqué par écrit aux intéressés le 1 er septembre 2023 , est notifié, par l'envoi d'une copie complète, à : - Me Yvan Gisling, avocat (pour I.________), - Ministère public central, une copie du dispositif est adressée à : - Mme la Présidente du Tribunal de police de l'arrondissement de l’Est vaudois, - Mme la Procureure de l'arrondissement de La Côte,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