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344 vom 16. Dezember 2022</w:t>
      </w:r>
    </w:p>
    <w:p>
      <w:r>
        <w:t>VD Tribunal cantonal, 2022-12-16, FR</w:t>
      </w:r>
    </w:p>
    <w:p>
      <w:r>
        <w:rPr>
          <w:b/>
        </w:rPr>
        <w:t xml:space="preserve">Quelle: </w:t>
      </w:r>
      <w:r>
        <w:t>https://mcp.opencaselaw.ch/entscheid/vd_findinfo_Jug___2023___344</w:t>
      </w:r>
    </w:p>
    <w:p>
      <w:r>
        <w:t>FR: VD_FINDINFO Jug / 2023 / 344 du 16 décembre 2022</w:t>
      </w:r>
    </w:p>
    <w:p>
      <w:r>
        <w:t>IT: VD_FINDINFO Jug / 2023 / 344 del 16 dicembre 2022</w:t>
      </w:r>
    </w:p>
    <w:p>
      <w:pPr>
        <w:pStyle w:val="Heading2"/>
      </w:pPr>
      <w:r>
        <w:t>Regeste</w:t>
      </w:r>
    </w:p>
    <w:p>
      <w:r>
        <w:t>DISCOURS DE HAINE, DIFFAMATION, PEINE PRIVATIVE DE LIBERTÉ, ÉGALITÉ ENTRE HOMME ET FEMME | 173 ch. 1 CP, 261bis al. 1 CP, 40 CP, 41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w:t>
      </w:r>
    </w:p>
    <w:p>
      <w:r>
        <w:t>Le Ministère public a requis la production en mains de la Chambre des appels correctionnels de Paris des jugements rendus les 11 février 2016 et 14 mars 2018 à l’encontre d’J.________, aux motifs qu’ils sont de nature à donner des indications sur les motivations de ce dernier à s’exprimer et sur les propos dépréciatifs qu’il émet depuis plusieurs années à raison de l’orientation ou de l’identité sexuelle. En l’occurrence, ces pièces ont été produites par la défense dans le délai de l’art. 400 al. 3 CPP et versées au dossier.</w:t>
      </w:r>
    </w:p>
    <w:p>
      <w:r>
        <w:rPr>
          <w:b/>
        </w:rPr>
        <w:t>E. 4</w:t>
      </w:r>
    </w:p>
    <w:p>
      <w:r>
        <w:t>Le Ministère public conteste l’acquittement d’J.________ du chef d’accusation de discrimination et incitation à la haine au sens de l’art. 261 bis al. 1 CP. Il estime que les déclarations de l’intimé au sujet de C.________ constituent bien des propos de nature à susciter la haine et la discrimination, car présentant les personnes issues de la communauté homosexuelle comme méprisables et désaxées. Il considère également que l’objectif de l’intimé était d’alimenter et d’attiser les émotions des internautes. Cet objectif avait été atteint comme le démontraient clairement les commentaires en ligne qui ont suivi la diffusion des propos litigieux, puisque le terme « désaxée » a ensuite été repris par les internautes, qui ont également traité la plaignante de « dégénérée », « tordue », « invertébrée », « goudou malsaine » et « mère [...] broute minou ».</w:t>
      </w:r>
    </w:p>
    <w:p>
      <w:r>
        <w:rPr>
          <w:b/>
        </w:rPr>
        <w:t>E. 4.1</w:t>
      </w:r>
    </w:p>
    <w:p>
      <w:r>
        <w:t>Aux termes de l’art. 261 bis al. 1 CP, q uiconque, publiquement, incite à la haine ou à la discrimination envers une personne ou un groupe de personnes en raison de leur appartenance raciale, ethnique ou religieuse ou de leur orientation sexuelle est puni d’une peine privative de liberté de trois ans au plus ou d’une peine pécuniaire. Depuis le 1 er juillet 2020, l’art. 261bis CP réprime également la discrimination et l’incitation à la haine en raison de l’orientation sexuelle. De manière générale, la nouvelle disposition ne punit les déclarations discriminatoires, et en particulier homophobes, que si elles sont faites publiquement et qu’elles rabaissent les personnes auxquelles elles s’adressent d’une manière contraire à la dignité humaine. La liberté d’expression conserve donc toute sa valeur (FF 2018 3911). Par orientation sexuelle, on entend la capacité qu’a chacun de ressentir une profonde attirance émotionnelle, affective et sexuelle envers des individus de sexe opposé (hétérosexuel), de même sexe (gai, lesbienne) ou de plus d’un sexe (bisexuel), et d’entretenir des relations intimes et sexuelles avec ces individus (FF 2018 3908). L'art. 261 bis CP vise notamment à protéger la dignité que tout homme acquiert dès la naissance et l'égalité entre les êtres humains. En protégeant l'individu du fait de son appartenance à un groupe ethnique ou religieux, ou de son orientation sexuelle, la paix publique est indirectement protégée.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(ATF 148 IV 188 consid. 1.3 et les références citées ; TF 6B_748/2022 du 2 juin 2023 consid. 2.1 et les références citées). La notion d’incitation (à la haine ou à la discrimination) au sens de l’art. 261 bis al. 1 CP englobe notamment le fait d’exciter, soit, dans une acception très large, d'alimenter ou d'attiser des émotions de manière à susciter la haine et la discrimination, même en l'absence d'une exhortation très explicite (ATF 148 IV 113 consid. 3 ; ATF 143 IV 193 consid. 1 ; ATF 123 IV 202 consid. 3b ; TF 6B_644/2020 du 14 octobre 2020 consid. 1.2). L'auteur doit agir publiquement, c'est-à-dire en dehors d'un cercle privé (ATF 130 IV 111 consid. 5.2.2) par des paroles, des écrits, des images, des gestes ou des voies de fait (ATF 145 IV 23 consid. 2.2 ; TF 6B_748/2022 précité). Du point de vue subjectif, le délit est intentionnel, le dol éventuel pouvant suffire (ATF 148 IV 113 consid. 3 ; ATF 145 IV 23 consid. 2.3 ; TF 6B_748/2022 précité).</w:t>
      </w:r>
    </w:p>
    <w:p>
      <w:r>
        <w:rPr>
          <w:b/>
        </w:rPr>
        <w:t>E. 4.2</w:t>
      </w:r>
    </w:p>
    <w:p>
      <w:r>
        <w:t>La Cour de céans considère que les propos décrits dans l’ordonnance pénale du 4 avril 2022, valant acte d’accusation, constituent, au vu des termes utilisés et du contexte général dans lequel ils ont été prononcés, une incitation à la haine et à la discrimination des homosexuels et des lesbiennes en particulier. En effet, en rapprochant les termes « queer » qui, selon le Petit Robert (éd. 2023), désigne, en anglais, « les personnes dont l'orientation ou l'identité sexuelle ne correspond pas aux modèles dominants », et « désaxé », qui, en lien avec une personne physique, signifie « qui n’est pas dans son état normal (Petit Robert, éd. 2023) » ou « qui souffre d’un déséquilibre mental ; déséquilibré » (Larousse, éd. 2023), l’intimé présente l’orientation sexuelle de la partie plaignante comme déficiente, anormale et par conséquent méprisable. Le caractère dépréciatif, rabaissant et discriminant des propos précités est encore renforcé par le contexte général de la présentation de la partie plaignante, qualifiée par l’intimé de « grosse lesbienne » et de « militante communautaire » colportant des « fake news ». Pris dans leur ensemble, les termes utilisés font apparaître la plaignante, de même que toute la communauté homosexuelle et lesbienne (« voilà face à quoi on est », « je suis face à des gens qui à mon avis sont ultra-minoritaires »), comme une personne qui, compte tenu de son orientation sexuelle, serait méprisable, indigne et déséquilibrée. On ajoutera que l’article de presse à l’origine de la vidéo enregistrée par l’intimé est factuel, nuancé et se contente pour l’essentiel d’analyser le contenu des flyers promouvant la formation proposée par [...] ; il ne comporte rien qui aurait trait à des questions portant sur l’identité sexuelle. En particulier, C.________ n’expose à aucun moment qu’J.________ serait homophobe ou sexiste. Il faut ainsi constater que l’intimé a choisi de faire connaître son mécontentement vis-à-vis de l’article précité, non pas en critiquant le travail journalistique de son autrice, mais en attaquant celle-ci personnellement sur son identité sexuelle. Du reste, à la question de savoir ce qu’il aurait dit si C.________ avait été hétérosexuelle, il a simplement répondu qu’ « elle ne l’était pas » (jgt, p. 5). Son comportement ne résulte aucunement d’une réaction à chaud, comme il le soutient, puisqu’il a pris le temps d’effectuer des recherches sur Internet, tant s’agissant de la plaignante que de la signification du mot « queer » (cf. PV audition 1, ll. 43 ss), avant d’orchestrer son intervention sous la forme d’une interview filmée, dirigée par un tiers, soit [...]. La vidéo a ensuite été mise en ligne sur le site d’[...] où elle est demeurée de nombreux mois. En insistant comme il l’a fait sur le militantisme et l’orientation sexuelle de la plaignante, au moyen d’un vocabulaire méprisant et rabaissant, tout en prenant le soin de faire figurer une photographie de celle-ci sous la vidéo incriminée et ce, afin qu’elle soit parfaitement identifiable par les internautes, l’intimé a cherché à diffuser un message destiné à éveiller et exciter un sentiment homophobe auprès de ses spectateurs et auditeurs. En outre, il faut admettre que la réaction des internautes, même si elle n’est pas opposable comme fait punissable à l’intimé, constitue la preuve par l’acte que les propos incriminés ont bien incité à la haine et à la discrimination de la partie plaignante. Ainsi peut-on notamment lire en commentaires les propos suivants : « Salut à vous ! En fait, je n’aime pas trop me moquer du physique des gens. Ce qui me fait franchir le pas, c’est que ce genre de personne est dégénérée et qui plus est, haineuse », « La tête de la ‘désaxée’… je lui confierais pas mes enfants », « Comme toujours quand Monsieur J.________ répond aux tordus d’en face : clair, net et précis, percutant et sans bavure », « Plus je vois qui attaque J.________, plus il m’est sympathique et plus ses ennemis apparaissent laids, fourbes, invertébrés et menteurs », « Un grand bonjour à J.________, en espérant que tous ces dégénérés ne viendront pas lui pourrir sa tranquillité suisse », « Quant à C.________, chapeau Madame (ou Monsieur ?), votre visage nous envoie des ondes pleines d’intelligence extra-terreste lgbt ! », « Une goudou malsaine, une de plus… » ou encore « La photo de la mère [...] broute minous m’a choquée ! Il y a des images qui comme ça s’imprime dans le cerveau comme une tache d’huile qui souille un vêtement propre ! Dur à effacer ! Vous devriez mettre un petit avertissement pour les gens fragiles et facilement impressionnable s ! ». On précisera encore qu’invité à s’exprimer au sujet de ces commentaires, l’intimé ne les a pas désapprouvés ; il s’en est même amusé, les trouvant « très drôles, pleins de finesse et d’esprit » (PV audition 1, l. 117), de même que « taquins » (jgt, p. 13). De plus, alors qu’il a reconnu faire modérer certains commentaires (jgt, pp. 12-13), il n’a rien entrepris de tel en l’espèce. Au jour des débats de première instance, la vidéo était d’ailleurs toujours en ligne (jgt, p. 13). En l’occurrence, ces commentaires, même s’ils ne peuvent être directement imputés à l’intimé, doivent néanmoins être pris en compte dans l’appréciation du caractère homophobe de son discours. Les déclarations de l’intéressé, son absence de modération et le maintien en ligne de la vidéo incriminée, alors qu’il se savait faire l’objet d’une procédure pénale, attestent également du dessein qu’était le sien d’attiser chez ses spectateurs et auditeurs des émotions viles de manière à susciter la haine et la discrimination, ce que réprime précisément l’art. 261 bis al. 1 CP. Les propos incriminés ont été tenus publiquement, puisque la vidéo litigieuse a été mise en ligne sur Internet – tel étant du reste l’objectif – et qu’elle a été visionnée des milliers de fois, notamment sur Youtube et sur le site [...] (cf. ordonnance pénale, p. 12), ce qui n’est pas contesté. L’intimé avait en outre parfaitement conscience du fait qu’une fois mise en ligne la vidéo serait diffusée sur d’autres sites (cf. jgt, p. 13 : « Pour répondre à [...] qui me demande pourquoi la vidéo est encore en ligne, je réponds que de toute façon, une fois publiée, une vidéo est transmise plus loin et survit. »). Il résulte de l’ensemble de ces éléments que l’art. 261 bis al. 1 CP est applicable aux propos tenus publiquement par J.________. Subjectivement, il a agi intentionnellement. Les mots ont été choisis à dessein. L’intimé a d’ailleurs admis que le sens « désaxé », utilisé pour définir le mot « queer » lui avait paru « le plus approprié » (PV audition 2, ll. 63 à 65). Ces mots (« militante queer », « désaxé », « grosse lesbienne », « je suis face à des gens » ) n’ont nullement été prononcés à chaud. Au contraire, ils ont fait l’objet d’une réflexion préalable. Comme on l’a vu, l’intimé a d’abord effectué des recherches sur Internet, puis s’est mis en scène sous la forme d’une interview filmée, destinée à être diffusée sur le site [...]. Il s’est également assuré que sa victime puisse être parfaitement identifiable, en faisant figurer une photographie de celle-ci sous la vidéo en question. A aucun moment, il n'a affirmé qu’il n’aurait eu aucun contrôle sur le contenu de cette vidéo, qu’il assume du reste totalement, ainsi que sur sa diffusion. En agissant de la sorte, il entendait, de manière consciente et volontaire, alimenter et susciter la haine et la discrimination non seulement envers C.________ mais aussi envers toute la communauté homosexuelle et lesbienne. La Cour de céans relèvera encore qu’J.________ a déjà été condamné par la justice française pour « diffamation envers particulier(s) en raison de l’orientation ou identité sexuelle, par parole, écrit, image ou moyen de communication au public par voie électronique (complicité) (jugement du 11 février 2016) et pour « injure publique envers un particulier en raison de son orientation ou identité sexuelle par parole, écrit, image ou moyen de communication au public par voie électronique » (jugement du 14 mars 2018). Il a ainsi déjà, par le passé, injurié, diffamé, et donc rabaissé et discriminé des personnes en raison de leur orientation sexuelle. Comme le relève le Ministère public, si ces antécédents ne fondent pas la culpabilité, ils permettent néanmoins de confirmer le caractère homophobe de l’intimé, et donc ce qui l’a animé au moment de s’exprimer dans la vidéo litigieuse. En définitive, l’appel du Ministère public doit être admis sur ce point, de sorte qu’J.________ sera condamné pour discrimination et incitation à la haine au sens de l’art. 261 bis al. 1 CP.</w:t>
      </w:r>
    </w:p>
    <w:p>
      <w:r>
        <w:rPr>
          <w:b/>
        </w:rPr>
        <w:t>E. 5</w:t>
      </w:r>
    </w:p>
    <w:p>
      <w:r>
        <w:t>Le Ministère public demande encore la condamnation de l’intimé pour propagation d’une idéologie visant à rabaisser une personne ou un groupe de personne en raison de leur orientation sexuelle au sens de l’art. 261 bis al. 2 CP. En substance, il soutient que le parcours d’J.________ démontrerait qu’il aurait enregistré la vidéo incriminée dans le but de promouvoir une idéologie homophobe, ce qu’il aurait fait en qualifiant la partie plaignante de « grosse lesbienne » et de « queer » (dans le sens expressément précisé de « désaxé ») et en maintenant les commentaires outrageants qui ont suivi la publication.</w:t>
      </w:r>
    </w:p>
    <w:p>
      <w:r>
        <w:rPr>
          <w:b/>
        </w:rPr>
        <w:t>E. 5.1</w:t>
      </w:r>
    </w:p>
    <w:p>
      <w:r>
        <w:t>Selon l’art. 261 bis al. 2 CP, est punissable celui qui, publiquement, propage une idéologie visant à rabaisser ou à dénigrer de façon systématique cette personne ou ce groupe de personne. Le simple fait de revendiquer publiquement son appartenance à une idéologie, en l’occurrence homophobe, ne suffit pas à ce que les éléments constitutifs de l’art. 261 bis al. 2 CP soient réalisés. Cette disposition exige en effet que l’auteur « propage » cette idéologie. Par « propagation », il faut entendre « en faire la publicité », « faire de la propagande ». La propagande poursuit l’objectif d’acquérir des tiers à son idéologie ou de renforcer leurs convictions. Elle peut objectivement se manifester par n’importe quel mode de commission, par exemple en donnant une conférence, en prêtant ou en distribuant des écrits, en exposant des photos, en portant des insignes, même en effectuant certains gestes. Sur le plan subjectif, la notion de propagande ne nécessite pas uniquement le fait de savoir que l’acte en question sera perçu par des tiers, mais nécessite également l’intention, non seulement d’exprimer une idée, mais d’en faire la publicité, c’est-à-dire agir sur des tiers pour qu’ils deviennent acquis à cette idée ou, s’ils le sont déjà, de les conforter dans leurs convictions (ATF 140 IV 102 consid. 2.2.2, JdT 2015 IV 52).</w:t>
      </w:r>
    </w:p>
    <w:p>
      <w:r>
        <w:rPr>
          <w:b/>
        </w:rPr>
        <w:t>E. 5.2</w:t>
      </w:r>
    </w:p>
    <w:p>
      <w:r>
        <w:t>En l’espèce, les propos de l’intimé ont été tenus en réaction à un article de C.________ le concernant, dans une interview filmée et intitulée « [...] répond à l’article de la Tribune de Genève et dans 24 Heures ». Or, il ne résulte pas suffisamment des propos incriminés que l’intimé aurait fait de la propagande homophobe. On ne discerne en particulier pas d’invitation à rejoindre un mouvement homophobe ou de propagande exprimées dans l’entretien. Il s’agit plutôt d’un règlement de compte avec la plaignante, certes accompagné de propos méprisants, par lesquels l’intimé rabaisse de manière illicite sa victime pour son orientation sexuelle, sans qu’on puisse retenir qu’il cherche à propager des thèses homophobes au sens de l’art. 261 bis al. 2 CP. Partant, cette disposition n’est pas application dans la présente cause.</w:t>
      </w:r>
    </w:p>
    <w:p>
      <w:r>
        <w:rPr>
          <w:b/>
        </w:rPr>
        <w:t>E. 6</w:t>
      </w:r>
    </w:p>
    <w:p>
      <w:r>
        <w:t>Le Ministère public considère que l’intimé devrait être condamné pour infraction à l’art. 261 bis al. 4 CP. Dans l’ordonnance pénale tenant lieu d’acte d’accusation (art. 356 al. 1 CP), il a été constaté que les propos du prévenu ne revêtaient pas une intensité suffisante pour faire application de l’art. 261 bis al. 4 CP (cf. ch. 2.4, p. 12). Il s’agit en réalité sur ce point d’une décision de classement, qui lie l’autorité de jugement, de sorte que le moyen soulevé doit être écarté.</w:t>
      </w:r>
    </w:p>
    <w:p>
      <w:r>
        <w:rPr>
          <w:b/>
        </w:rPr>
        <w:t>E. 7</w:t>
      </w:r>
    </w:p>
    <w:p>
      <w:r>
        <w:t>Le Ministère public ne conteste pas la condamnation d’J.________ pour diffamation à une peine pécuniaire de 30 jours-amende à 50 fr. le jour. En revanche, il considère que l’infraction de discrimination et incitation la haine doit être sanctionnée d’une peine privative de liberté de 3 mois.</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7.1.3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références citées ; ATF 144 IV 313 consid. 1.1.1 et les références citées ; TF 6B_1398/2022 du 12 mai 2023 consid. 2.1).</w:t>
      </w:r>
    </w:p>
    <w:p>
      <w:r>
        <w:rPr>
          <w:b/>
        </w:rPr>
        <w:t>E. 7.1.4</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w:t>
      </w:r>
    </w:p>
    <w:p>
      <w:r>
        <w:rPr>
          <w:b/>
        </w:rPr>
        <w:t>E. 7.2</w:t>
      </w:r>
    </w:p>
    <w:p>
      <w:r>
        <w:t>La culpabilité d’J.________, qui, en tant qu’intellectuel, écrivain et éditeur, connaît parfaitement l’importance du choix des mots, est lourde. Par ses propos méprisants, blessants et homophobes, il a non seulement insulté et diffamé la partie plaignante, photo à l’appui, alors que celle-ci n’avait effectué que son travail, mais s’en est également pris à toute la communauté LGBT. Il a exposé publiquement son hostilité envers l’homosexualité, en sachant pertinemment que sa vidéo serait vue par de nombreuses personnes, dont certaines capables de réactions haineuses. Il n’a de surcroît rien entrepris pour faire modérer les commentaires des internautes publiés à la suite de la diffusion de la vidéo, laquelle était du reste toujours en ligne au jour des débats de première instance. La Cour de céans ne croit pas aux regrets formulés par l’intimé, lesquels sont apparus de pure convenance. Bien au contraire, celui-ci n’a eu de cesse de se positionner en victime (jgt, p. 6 : « J’aimerais savoir quels torts je lui ai causés, c’est à moi que ça en a causés ») et de tenter de justifier ses propos par de prétendues dérives sociétales. On ne discerne chez le prévenu aucune forme de remise en question, ce qu’attestent au demeurant les multiples condamnations pénales prononcées à son encontre par les tribunaux français. On ne distingue guère d’éléments à décharge, si ce n’est que l’intimé a, depuis le jugement de première instance, retiré la vidéo litigieuse de son site Internet, ce qui aurait néanmoins dû être fait bien plus tôt. L’intimé n’a jamais été condamné en Suisse. Il a toutefois été condamné en France à 22 reprises, en particulier pour des propos racistes, discriminatoires ou diffamatoires, à des peines pécuniaires pour l’essentiel ainsi qu’à quelques reprises à des peines privatives de liberté avec sursis. Il n’en a tiré aucun enseignement et présente, à l’évidence, une insensibilité totale à la sanction pénale. Ce sont donc évidemment des motifs de prévention spéciale qui dictent le choix d’une peine privative de liberté, tant pour l’infraction de diffamation que pour celle de discrimination et incitation à la haine. Seule une sanction de cette nature est susceptible d’exercer un effet de contention sur l’intimé. En ce qui concerne la quotité de la peine, l’infraction de discrimination et incitation à la haine, qui constitue l’infraction la plus grave, justifie à elle seule une peine privative de 40 jours. Par l’effet du concours, elle doit être augmentée de 20 jours pour sanctionner la diffamation. C’est donc une peine privative de liberté de 60 jours qui sera prononcée. Compte tenu des nombreux antécédents judiciaires en France et de l’absence de remise en question, le pronostic ne peut être qu’entièrement défavorable, de sorte que la peine privative de liberté doit être ferme.</w:t>
      </w:r>
    </w:p>
    <w:p>
      <w:r>
        <w:rPr>
          <w:b/>
        </w:rPr>
        <w:t>E. 8</w:t>
      </w:r>
    </w:p>
    <w:p>
      <w:r>
        <w:t>En définitive, l’appel du Ministère public doit être admis et le dispositif du jugement entrepris modifié aux chiffres I et II de son dispositif dans le sens des considérants. Vu l’issue de la cause, les frais de la procédure d’appel, par 2’680 fr., constitués de l’émoluments de jugement et d’audience (art. 21 al. 1 et 2 TFIP [tarif des frais de procédure et indemnités en matière pénale du 28 septembre 2010 ; BLV 312.03.1]), seront à la charge d’J.________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