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33 vom 21. Juni 2022</w:t>
      </w:r>
    </w:p>
    <w:p>
      <w:r>
        <w:t>VD Tribunal cantonal, 2022-06-21, FR</w:t>
      </w:r>
    </w:p>
    <w:p>
      <w:r>
        <w:rPr>
          <w:b/>
        </w:rPr>
        <w:t xml:space="preserve">Quelle: </w:t>
      </w:r>
      <w:r>
        <w:t>https://mcp.opencaselaw.ch/entscheid/vd_findinfo_Jug___2023___33</w:t>
      </w:r>
    </w:p>
    <w:p>
      <w:r>
        <w:t>FR: VD_FINDINFO Jug / 2023 / 33 du 21 juin 2022</w:t>
      </w:r>
    </w:p>
    <w:p>
      <w:r>
        <w:t>IT: VD_FINDINFO Jug / 2023 / 33 del 21 giugno 2022</w:t>
      </w:r>
    </w:p>
    <w:p>
      <w:pPr>
        <w:pStyle w:val="Heading2"/>
      </w:pPr>
      <w:r>
        <w:t>Regeste</w:t>
      </w:r>
    </w:p>
    <w:p>
      <w:r>
        <w:t>EXCÈS DE VITESSE, INTERDICTION DE L'ARBITRAIRE, REJET DE LA DEMANDE | 398 al. 4 CPP (CH)</w:t>
      </w:r>
    </w:p>
    <w:p>
      <w:pPr>
        <w:pStyle w:val="Heading2"/>
      </w:pPr>
      <w:r>
        <w:t>Erwägungen</w:t>
      </w:r>
    </w:p>
    <w:p>
      <w:r>
        <w:rPr>
          <w:b/>
        </w:rPr>
        <w:t>E. 1.1</w:t>
      </w:r>
    </w:p>
    <w:p>
      <w:r>
        <w:t>Interjeté dans les formes et délais légaux (art. 385 al. 1 et 399 CPP [Code de procédure pénale suisse du 5 octobre 2007 ; RS 312.0]) par un prévenu ayant qualité pour recourir (art. 382 al. 1 CPP) contre le jugement d’un tribunal de première instance qui a clos la procédure (art. 398 al. 1 CPP), l'appel de X.________ est recevable.</w:t>
      </w:r>
    </w:p>
    <w:p>
      <w:r>
        <w:rPr>
          <w:b/>
        </w:rPr>
        <w:t>E. 1.2</w:t>
      </w:r>
    </w:p>
    <w:p>
      <w:r>
        <w:t>; TF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 1.2 ; TF 6B_914/2015 précité consid. 1.2 ; TF 6B_451/2021 précité consid. 1.2 ; TF 6B_237/2015 du 16 février 2016 consid. 1.2). Toujours selon la jurisprudence, la qualité de détenteur crée un indice de culpabilité suffisant appelant des explications de la part de celui-ci, la jurisprudence de la CourEDH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15 septembre 2021/418 consid. 3.2.2 ; CAPE 24 juin 2020/255 ; CAPE 15 janvier 2014/7).</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6B_786/2020 du 11 janvier 2021 consid. 3.1 et les réf. citées, non publié aux ATF 147 IV 274 ; Kistler Vianin, in : Jeanneret/Kuhn/ Perrier Depeursinge [éd.], Commentaire romand, Code de procédure pénale suisse, 3 e éd., Bâle 2019, nn. 22-23 ad art. 398 CPP). La notion d’arbitraire n’est pas synonyme de discutable, ni même de critiquable. Une décision ne peut être considérée comme arbitraire que si elle s’avère manifestement insoutenable, et cela non seulement dans sa motivation mais aussi dans son résultat (ATF 134 I 140 consid. 5.4, JdT 2009 I 303 ; ATF 133 I 149 consid. 3.1 et les arrêts cités).</w:t>
      </w:r>
    </w:p>
    <w:p>
      <w:r>
        <w:rPr>
          <w:b/>
        </w:rPr>
        <w:t>E. 3.1</w:t>
      </w:r>
    </w:p>
    <w:p>
      <w:r>
        <w:t>L’appelant conteste sa condamnation en faisant valoir que celle-ci se fonderait sur des preuves insuffisantes et dépourvues de pertinences, alors que de nombreux éléments, en particulier des déclarations de témoins, démontreraient qu’il n’est pas le conducteur incriminé. Il fait valoir une violation de la présomption d’innocence et reproche au tribunal d’avoir procédé à une appréciation arbitraire des preuves.</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w:t>
      </w:r>
    </w:p>
    <w:p>
      <w:r>
        <w:t>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w:t>
      </w:r>
    </w:p>
    <w:p>
      <w:r>
        <w:rPr>
          <w:b/>
        </w:rPr>
        <w:t>E. 3.4</w:t>
      </w:r>
    </w:p>
    <w:p>
      <w:r>
        <w:t>Le tribunal de première instance a retenu ce qui suit : « […] le Tribunal considère toutefois comme invraisemblable le fait qu’une personne tierce de la famille, laquelle est amenée à chercher régulièrement les enfants à la crèche et à les amener au domicile ou chez elle, doive échanger son véhicule parce qu’il n’est pas équipé des sièges enfants et, de surcroît, commette un excès de vitesse en transportant des enfants sur une route qu’il emprunte fréquemment. De plus, il est invraisemblable que l’opposant prenne le véhicule de son épouse le matin, laquelle échange le véhicule de son mari avec celui d’un tiers de la famille, de surcroît sur son lieu de travail à […]. Cette explication est ubuesque. Les dénégations de l’opposant ne tiennent en réalité pas la route. En l’espèce, le Tribunal est convaincu que c’est bien l’opposant qui conduisait son véhicule le jour en question et que, manifestement pressé par une urgence ou un rendez-vous, il a commis l’excès de vitesse en question. D’ailleurs, la photo radar permet de constater une ressemblance manifeste avec l’opposant, de sorte que le Tribunal a l’intime conviction que l’opposant est bien le conducteur du véhicule en cause et de l’excès de vitesse constaté au moyen du radar. »</w:t>
      </w:r>
    </w:p>
    <w:p>
      <w:r>
        <w:rPr>
          <w:b/>
        </w:rPr>
        <w:t>E. 3.5</w:t>
      </w:r>
    </w:p>
    <w:p>
      <w:r>
        <w:t>En substance, l’appelant fait valoir que ce serait à tort que le tribunal aurait fondé sa conviction sur les photos versées au dossier dès lors que celles-ci ne permettraient pas de l’identifier de manière certaine. Il relève que l’on n’y voit qu’un tiers du visage du conducteur et qu’il existerait en conséquence un doute objectif sur l’identité de la personne qui conduisait le véhicule VD [...] le 1 er juillet à 19h11. Il ajoute qu’il aurait rendu vraisemblable que, le jour en question, une autre personne que lui ait pu être au volant de son véhicule. Enfin, il estime avoir également rendu vraisemblable qu’il n’aurait pas quitté son poste de travail avant 19h00 passé de quelques minutes (clôture des marchés financiers à 19h00). Faisant valoir que la durée minimale du trajet entre son lieu de travail et le lieu de contrôle de vitesse est de 17 minutes, il en déduit qu’il ne pouvait pas être présent sur le lieu de l’infraction à 19h11 et que ce serait en violation du principe in dubio pro reo que le tribunal l’aurait reconnu coupable de violation simple des règles de la circulation routière.</w:t>
      </w:r>
    </w:p>
    <w:p>
      <w:r>
        <w:rPr>
          <w:b/>
        </w:rPr>
        <w:t>E. 3.6</w:t>
      </w:r>
    </w:p>
    <w:p>
      <w:r>
        <w:t>Au vu de différents éléments au dossier, on constate que l’appelant a toujours prétendu ne pas pouvoir être le conducteur responsable de l’excès de vitesse qui lui est reproché. Ses explications selon lesquelles il serait impossible qu’il fût présent à l’heure de l’infraction ne sont toutefois corroborées par aucun élément de preuve tangible à l’exception de la déposition de [...], chef de X.________, lequel ne permet toutefois pas d’exclure formellement l’implication de l’appelant, dès lors que l’employeur a tout au plus confirmé qu’il arrivait rarement que l’intéressé quitte son poste avant 19h00 et qu’il ne se souvenait pas que tel fut le cas le 1 er juillet 2021. Or, le fait que ni l’appelant, ni son employeur ne se rappelle d’un départ prématuré ne rend pas impossible les constatations du premier juge selon lesquelles l’appelant a pu partir plus tôt ce jour-là. On peut certes laisser à l’appelant – comme l’a confirmé son épouse également entendue – qu’il arrive que ce soit d’autres personne de la famille qui empruntent la voiture et aillent chercher les enfants à la crèche. Toutefois, les deux crèches fermant à 18h30, même en admettant que la personne soit allé chercher l’enfant qui était gardé à la crèche de Crans à la dernière heure possible, soit 18h30 – il avait donc forcément déjà récupéré celui gardé à Coppet à ce moment, puisque cette crèche ferme également à 18h30 –, il n’apparaît pas plus crédible que ce soit cette personne qui se trouvait sur la route Suisse, où le véhicule a été contrôlé, plus de 40 minutes après la fermeture de la crèche, alors que celle-ci se trouve à quelques minutes du lieu de l’infraction. Ainsi, s’il soutient que le véhicule est parfois à disposition d’un nombre indéterminé de personnes, l’appelant n’apporte pas une quelconque preuve que tel était le cas le jour en question. A cela s’ajoute enfin et surtout que, contrairement à ce que plaide l’appelant, les photographies au dossier sont suffisamment claires pour permettre d’affirmer qu’il existe une ressemblance entre la personne figurant sur ces photographies et l’appelant (cf. P. 4 contenant les photographies du radar ainsi que celle du permis de conduire de l’appelant). Le fait que, comme il le soutient, ces images ne répondent pas aux exigences d’identification faciale de la doctrine américaine n’est pas relevant. En définitive, on constate que rien ne permet de préférer la version de l’appelant à celle du tribunal et que l’appelant, qui discute librement les faits, ne parvient pas à mettre en cause le raisonnement de l’autorité précédente. Il échoue donc à montrer que les faits tels que retenus par le premier juge seraient arbitraires. En effet, la force probante de ses explications au sujet de son impossibilité d’avoir été présent sur le lieu de l’infraction ne sont pas suffisantes au regard de la ressemblance qu’il existe avec les photographies. Dans ces circonstances, en sa qualité de détenteur du véhicule photographié pendant un excès de vitesse, il doit en répondre conformément aux principes rappelés ci-dessus.</w:t>
      </w:r>
    </w:p>
    <w:p>
      <w:r>
        <w:rPr>
          <w:b/>
        </w:rPr>
        <w:t>E. 4</w:t>
      </w:r>
    </w:p>
    <w:p>
      <w:r>
        <w:t>En définitive, l’appel doit être rejeté et le jugement entrepris intégralement confirmé. Vu l’issue de la cause, les frais de la procédure d’appel, constitués du seul émolument de jugement (art. 422 al. 1 CPP), par 810 fr. (art. 21 al. 1 TFIP [Tarif des frais de procédure et indemnités en matière pénale du 28 septembre 2010 ; BLV 312.03.1]), seront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