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320 vom 22. März 2023</w:t>
      </w:r>
    </w:p>
    <w:p>
      <w:r>
        <w:t>VD Tribunal cantonal, 2023-03-22, FR</w:t>
      </w:r>
    </w:p>
    <w:p>
      <w:r>
        <w:rPr>
          <w:b/>
        </w:rPr>
        <w:t xml:space="preserve">Quelle: </w:t>
      </w:r>
      <w:r>
        <w:t>https://mcp.opencaselaw.ch/entscheid/vd_findinfo_Jug___2023___320</w:t>
      </w:r>
    </w:p>
    <w:p>
      <w:r>
        <w:t>FR: VD_FINDINFO Jug / 2023 / 320 du 22 mars 2023</w:t>
      </w:r>
    </w:p>
    <w:p>
      <w:r>
        <w:t>IT: VD_FINDINFO Jug / 2023 / 320 del 22 marzo 2023</w:t>
      </w:r>
    </w:p>
    <w:p>
      <w:pPr>
        <w:pStyle w:val="Heading2"/>
      </w:pPr>
      <w:r>
        <w:t>Regeste</w:t>
      </w:r>
    </w:p>
    <w:p>
      <w:r>
        <w:t>ABUS DE CONFIANCE, ESCROQUERIE, PAR MÉTIER, DÉPENS, ASTUCE, CONCOURS IMPARFAIT, RÉVOCATION DU SURSIS | 138 CP, 146 al. 1 CP, 146 al. 2 CP, 40 CP, 429 al. 1 let. a CPP (CH)</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H.________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L’appelant ne conteste pas les faits. En revanche, il soutient qu’ils ne sont pas constitutifs d’escroquerie, dans la mesure où il n’aurait pas eu un comportement astucieux à l’égard de X.________, Y.________ SA, J.________ SA, V.________, A.________, I.________ SA, O.________, T.________ et U.________ (cas 1 à 4 et 6 à 10 de l’acte d’accusation.). En outre, il n’aurait pas commis un acte d’appropriation au préjudice de J.________ SA, d’Z.________ et d’I.________ SA (cas 3, 5 et 7 de l’acte d’accusation), de sorte qu’il ne pourrait être condamné pour abus de confiance.</w:t>
      </w:r>
    </w:p>
    <w:p>
      <w:r>
        <w:rPr>
          <w:b/>
        </w:rPr>
        <w:t>E. 3.1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et les références citées ; TF 6B_697/2022 du 21 juin 2023 consid. 2.1.3).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et les références citées ; TF 6B_697/2022 précité).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et les références citées ; TF 6B_697/2022 précité consid. 2.1.4). Lorsque les escroqueries sont commises en série et que le procédé astucieux est commun à tous les cas, il suffit d’examiner la question de l’astuce de manière générale et non pas isolément pour chacune des victimes. Un examen particulier sera nécessaire uniquement pour les cas qui s’écartent du procédé astucieux commun (ATF 119 IV 284 consid. 5a, JdT 1995 IV 142 ; Dupuis et al. [éd.], Code pénal, Petit commentaire, 2 e éd., Bâle 2017, n. 16 ad art. 146 CP).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6B_697/2022 précité consid. 2.1.5).</w:t>
      </w:r>
    </w:p>
    <w:p>
      <w:r>
        <w:rPr>
          <w:b/>
        </w:rPr>
        <w:t>E. 3.2</w:t>
      </w:r>
    </w:p>
    <w:p>
      <w:r>
        <w:t>Aux termes de l’art. 138 ch. 1 al. 1 CP, se rend coupable d’abus de confiance celui qui, pour se procurer ou procurer à un tiers un enrichissement illégitime, se sera approprié une chose mobilière appartenant à autrui et qui lui avait été confiée. Sur le plan objectif, l’abus de confiance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143 IV 297 consid. 1.3 et les références citées ; TF 6B_1169/2022 du 30 juin 2023 consid. 2.2).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et les références citées ; TF 6B_1169/2022 précité). D'un point de vue subjectif, l'auteur doit avoir agi intentionnellement et dans un dessein d'enrichissement illégitime, lequel peut être réalisé par dol éventuel (ATF 118 IV 32 consid. 2a ; TF 6B_1169/2022 précité).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TF 6B_595/2022 du 2 juin 2023 consid. 2.1.2).</w:t>
      </w:r>
    </w:p>
    <w:p>
      <w:r>
        <w:rPr>
          <w:b/>
        </w:rPr>
        <w:t>E. 3.3</w:t>
      </w:r>
    </w:p>
    <w:p>
      <w:r>
        <w:t>L'illicéité de l'escroquerie et de l'abus de confiance se rapporte à un transfert de patrimoine, respectivement de propriété (cf. ATF 134 IV 210 consid. 5.3),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dernière constitue le point de départ du processus délictueux. L'art. 146 CP appréhende celui-ci dans son entier, sachant de surcroît que les deux dispositions protègent, certes sous des facettes différentes, le patrimoine et, en l'occurrence, le patrimoine d'un seul et même lésé. Il faut donc en conclure que cette disposition absorbe l'art. 138 CP et retenir un concours imparfait (TF 6B_473/2016 du 22 juin 2017 consid. 3.1 ; Dupuis et al. [éd.], op. cit., n. 55 ad art. 138 CP).</w:t>
      </w:r>
    </w:p>
    <w:p>
      <w:r>
        <w:rPr>
          <w:b/>
        </w:rPr>
        <w:t>E. 4</w:t>
      </w:r>
    </w:p>
    <w:p>
      <w:r>
        <w:t>Il faut constater, avec le premier juge, que les faits décrits sous cas 1, 6, 8, 9 et 10 de l’acte d’accusation, lesquels sont admis par l’appelant, procèdent du même stratagème. En effet, à chaque fois, l’appelant a proposé à la vente un véhicule d’occasion qui ne lui appartenait pas, en escomptant que ses cocontractants ne se livreraient à aucune vérification, et s’est fait verser des acomptes, voire l’intégralité du montant dans les cas 8 et 10.</w:t>
      </w:r>
    </w:p>
    <w:p>
      <w:r>
        <w:rPr>
          <w:b/>
        </w:rPr>
        <w:t>E. 4.1</w:t>
      </w:r>
    </w:p>
    <w:p>
      <w:r>
        <w:t>Cas 1 de l’acte d’accusation (cf. supra En fait, C. 2.1) En l’occurrence, le comportement astucieux procède à la fois de la volonté de ne pas honorer le contrat de vente, lequel était du reste impossible à exécuter, de profiter de la conclusion de ce contrat pour demander des acomptes à l’acheteur et de fournir une pièce tronquée du permis de circulation faisant croire à la dupe que l’appelant était le détenteur du véhicule. Cette dernière n’avait aucune raison de procéder à des vérifications supplémentaires. Les éléments constitutifs de l’infraction d’escroquerie sont ainsi réalisés.</w:t>
      </w:r>
    </w:p>
    <w:p>
      <w:r>
        <w:rPr>
          <w:b/>
        </w:rPr>
        <w:t>E. 4.2</w:t>
      </w:r>
    </w:p>
    <w:p>
      <w:r>
        <w:t>Cas 6 de l’acte d’accusation (cf. supra En fait, C. 2.5) Dans ce cas également, l’escroquerie doit être retenue. En effet, l’appelant a entrepris de vendre une chose mobilière qui ne lui appartenait pas. Comme dans le cas précédent, il n’avait ni la possibilité ni la volonté d’exécuter le contrat mais uniquement d’encaisser indûment des acomptes de la dupe. Celle-ci n’avait aucune raison de douter de la bonne foi de l’appelant et n’avait donc pas à vérifier qu’il était bien le propriétaire du véhicule proposé à la vente.</w:t>
      </w:r>
    </w:p>
    <w:p>
      <w:r>
        <w:rPr>
          <w:b/>
        </w:rPr>
        <w:t>E. 4.3</w:t>
      </w:r>
    </w:p>
    <w:p>
      <w:r>
        <w:t>Cas 9 de l’acte d’accusation (cf. supra En fait, C. 2.7) Ce cas est similaire aux deux précédents examinés ci-dessus. L’escroquerie sera donc également retenue.</w:t>
      </w:r>
    </w:p>
    <w:p>
      <w:r>
        <w:rPr>
          <w:b/>
        </w:rPr>
        <w:t>E. 4.4</w:t>
      </w:r>
    </w:p>
    <w:p>
      <w:r>
        <w:t>Cas 8 et 10 de l’acte d’accusation</w:t>
      </w:r>
    </w:p>
    <w:p>
      <w:r>
        <w:rPr>
          <w:b/>
        </w:rPr>
        <w:t>E. 4.4.1</w:t>
      </w:r>
    </w:p>
    <w:p>
      <w:r>
        <w:t>H.________ est renvoyé en jugement pour avoir, le 16 juillet 2021, conclu un contrat de vente avec O.________ portant sur le véhicule Nissan Note appartenant à M.________. L’acheteur s’est acquitté de la totalité du montant demandé, soit 1'800 francs. Il n’a toutefois jamais reçu le véhicule en question (cas 8 de l’acte d’accusation). Le 10 octobre 2021, H.________ a utilisé le même procédé au préjudice de U.________, à [...], lequel s’est acquitté du montant réclamé de 1'550 francs (cas 10 de l’acte d’accusation). U.________, qui a déposé plainte le 8 novembre 2021, l’a toutefois retirée le 9 mai 2023, ce dont il sera pris acte par la Cour de céans. Les faits se poursuivent néanmoins d’office. L’état de fait précité doit être précisé. En effet, il ressort du rapport de la Police de sûreté fribourgeoise du 15 novembre 2021 que, dans ces deux cas, l’appelant a remis aux acheteurs une copie de son permis de conduire et du permis de circulation du véhicule (cf. P. 19), lequel mentionnait le nom de sa détentrice, soit M.________.</w:t>
      </w:r>
    </w:p>
    <w:p>
      <w:r>
        <w:rPr>
          <w:b/>
        </w:rPr>
        <w:t>E. 4.4.2</w:t>
      </w:r>
    </w:p>
    <w:p>
      <w:r>
        <w:t>Au vu des circonstances, tant O.________ que U.________ auraient pu se protéger de la tromperie de l’appelant. Ils n’ont toutefois procédé à aucune vérification élémentaire alors que le nom du vendeur ne correspondait pas à celui de la détentrice du véhicule, d’une part, et qu’ils acceptaient de s’acquitter de l’intégralité du prix de vente réclamé, sans la moindre contrepartie, d’autre part. Compte tenu de la coresponsabilité des dupes, l’astuce doit être exclue, de sorte que l’appelant sera libéré du chef d’accusation d’escroquerie pour ces deux cas.</w:t>
      </w:r>
    </w:p>
    <w:p>
      <w:r>
        <w:rPr>
          <w:b/>
        </w:rPr>
        <w:t>E. 5</w:t>
      </w:r>
    </w:p>
    <w:p>
      <w:r>
        <w:t>Les faits décrits aux chiffres 2, 3 et 7 de l’acte d’accusation, lesquels sont admis par l’appelant, procèdent également d’un même stratagème, à savoir la conclusion d’un contrat de vente sur une voiture que l’appelant sait pertinemment qu’il ne pourra pas honorer.</w:t>
      </w:r>
    </w:p>
    <w:p>
      <w:r>
        <w:rPr>
          <w:b/>
        </w:rPr>
        <w:t>E. 5.1</w:t>
      </w:r>
    </w:p>
    <w:p>
      <w:r>
        <w:t>Cas 2 de l’acte d’accusation Il est reproché à H.________ d’avoir, le 3 février 2020, à [...], conclu un contrat de vente sur un véhicule Subaru Forester neuf d’un montant de 40'420 fr. avec le garage Y.________ SA, alors qu’il savait pertinemment qu’il ne pourrait s’acquitter du prix. Le 11 février 2020, à sa demande, ce contrat a été annulé et remplacé par un contrat établi au nom de K.________ SA. Celui-ci n’a toutefois jamais été signé ni honoré. Aucune plainte n’a été déposée. Force est de constater qu’en définitive, les discussions entre les parties n’ont pas abouti sur la conclusion d’un contrat de vente. En outre, aucun véhicule n’a été remis à l’appelant. Il n’y a pas de dommage. De plus, au vu des faits tels qu’ils sont décrits dans l’acte d’accusation, on ne distingue pas où se situerait la tromperie astucieuse. Partant, l’appelant sera libéré, pour ce cas, de l’infraction d’escroquerie.</w:t>
      </w:r>
    </w:p>
    <w:p>
      <w:r>
        <w:rPr>
          <w:b/>
        </w:rPr>
        <w:t>E. 5.2</w:t>
      </w:r>
    </w:p>
    <w:p>
      <w:r>
        <w:t>Cas 3 de l’acte d’accusation (cf. supra En fait, C. 2.2) En l’espèce, il ressort de l’état de fait que l’appelant, même à supposer qu’il n’avait pas l’intention de s’acquitter du prix de vente, n’a jamais pris possession du véhicule commandé, réceptionné le 18 juin 2020 par le vendeur. Faute de dommage et d’enrichissement illégitime, l’infraction d’escroquerie n’est pas réalisée. Elle ne l’est pas davantage s’agissant du véhicule remis en location, dès lors qu’on ne discerne pas, à la lecture de l’acte d’accusation, en quoi aurait consisté le comportement astucieux. En revanche, l’appelant doit être condamné pour abus de confiance, infraction retenue à titre subsidiaire par le Ministère public. En effet, dès le 18 juin 2020, il devait restituer au garage le véhicule prêté, conformément à ce qui avait été convenu. Il ne l’a fait que deux mois plus tard, soit le 19 août 2020. Sous l’angle de l’abus de confiance, une appropriation passagère suffit. L’appelant ne s’est du reste jamais acquitté de la facture de location. Quant aux dommages à la propriété, ils ne sont pas contestés.</w:t>
      </w:r>
    </w:p>
    <w:p>
      <w:r>
        <w:rPr>
          <w:b/>
        </w:rPr>
        <w:t>E. 5.3</w:t>
      </w:r>
    </w:p>
    <w:p>
      <w:r>
        <w:t>Cas 7 de l’acte d’accusation (cf. supra En fait, C. 2.6) Pour ce cas, l’appelant est renvoyé comme prévenu d’escroquerie, subsidiairement d’abus de confiance et non concurremment comme l’a retenu, à tort, le Tribunal de police. En l’espèce, la Cour de céans retiendra que l’appelant n’avait aucunement l’intention d’honorer ses obligations résultant du contrat de location portant sur le véhicule, de sorte qu’il s’est rendu coupable d’escroquerie. En effet, ce constat correspond à l’état d’esprit de l’appelant qui, au vu des faits décrits dans l’acte d’accusation mais aussi de ses antécédents, érige le mensonge en mode de vie. Par ailleurs, on relève qu’il n’a pas restitué le véhicule à temps, ce qui dénote une volonté de ne pas exécuter le contrat. Enfin, il a à nouveau trompé la partie plaignante en affirmant fallacieusement qu’il souhaitait acquérir le véhicule, dans le but, inavoué, de le conserver davantage. C’est donc bien une tromperie qui est à la base du contrat de location. Cette tromperie est astucieuse car elle porte sur un élément interne de la volonté, non reconnaissable pour la dupe, et on ne distingue pas, dans le cas d’espèce, quelles vérifications cette dernière aurait dû entreprendre avant de cosigner le contrat de location. Il s’ensuit que l’appelant sera libéré de l’infraction d’abus de confiance mais condamné pour escroquerie.</w:t>
      </w:r>
    </w:p>
    <w:p>
      <w:r>
        <w:rPr>
          <w:b/>
        </w:rPr>
        <w:t>E. 6</w:t>
      </w:r>
    </w:p>
    <w:p>
      <w:r>
        <w:t>L’appelant conteste l’abus de confiance s’agissant du cas 5 de l’acte d’accusation (cf. supra En fait, C. 2.4). Il soutient qu’il n’y aurait pas d’acte d’appropriation. Comme l’a constaté le premier juge, l’appelant n’a pas restitué le véhicule VW Polo pris en location au terme de la semaine convenue mais avec près de 15 jours de retard, et uniquement sur l’insistance de son propriétaire. L’acte d’appropriation est suffisamment caractérisé pour être constitutif d’abus de confiance. Ce moyen doit dès lors être rejeté.</w:t>
      </w:r>
    </w:p>
    <w:p>
      <w:r>
        <w:rPr>
          <w:b/>
        </w:rPr>
        <w:t>E. 7</w:t>
      </w:r>
    </w:p>
    <w:p>
      <w:r>
        <w:t>L’appelant conteste encore avoir adopté un comportement astucieux dans le cadre du cas 4 de l’acte d’accusation (cf. supra En fait, C. 2.3). En l’espèce, le premier juge a considéré que la tromperie astucieuse consistait à se faire passer pour un employé de la société K.________ AG, cette affirmation erronée ayant éveillé la confiance de son cocontractant, qui lui a alors versé le prix de vente de 600 fr., sans procéder à de plus amples vérifications (cf. jgt, p. 18). Cette appréciation ne prête aucun flanc à la critique. En effet, V.________ a clairement indiqué que l’appelant lui avait « toujours dit qu’il [était] marchand de bétail pour l’entreprise K.________ » (PV audition 4, R. 5, p. 2). Du reste, ces déclarations sont attestées par un message Whatsapp que H.________ a adressé au lésé le 1 er septembre 2020 et dans lequel il lui dit qu’il travaille pour la société K.________ depuis 25 ans (cf. PV audition 5, annexe). Enfin, lors de son audition par la police, H.________ a admis que son comportement était problématique (« Il est vrai que c’est de ma faute parce que c’est vrai que je dis que suis employé par Bell et que ça peut tromper les gens ») et qu’il avait fait croire à V.________ qu’il travaillait pour cette entreprise dans le but de lui vendre de la viande, pour le « mettre en confiance » (PV audition 5, R. 12, p. 6). Il s’ensuit que la condamnation de l’appelant pour escroquerie doit être confirmée.</w:t>
      </w:r>
    </w:p>
    <w:p>
      <w:r>
        <w:rPr>
          <w:b/>
        </w:rPr>
        <w:t>E. 8</w:t>
      </w:r>
    </w:p>
    <w:p>
      <w:r>
        <w:t>S’agissant de l’infraction d’escroquerie, qui, en l’espèce, doit être retenue s’agissant des cas 1, 4, 6, 7 et 9 de l’acte d’accusation, l’appelant conteste l’aggravante du métier.</w:t>
      </w:r>
    </w:p>
    <w:p>
      <w:r>
        <w:rPr>
          <w:b/>
        </w:rPr>
        <w:t>E. 8.1</w:t>
      </w:r>
    </w:p>
    <w:p>
      <w:r>
        <w:t>L'art. 146 al. 2 CP prévoit que, si l'auteur fait métier de l'escroquerie, la peine sera une peine privative de liberté de 10 ans au plus ou une peine pécuniaire de 90 jours-amende au moins.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 qualification de métier n'est admise que si l'auteur a déjà agi à plusieurs reprises (ATF 119 IV 129 consid. 3a, JdT 1994 I 796 ; ATF 116 IV 319 consid. 3b, JdT 1992 IV 79 ; TF 6B_1141/2017 du 7 juin 2018 consid. 3.1). Les seules infractions tentées ne réalisent pas cette condition. Le fait que la tentative est absorbée par le délit consommé par métier lorsque l'auteur a commis plusieurs tentatives et des délits consommés (ATF 123 IV 113 consid. 2d ; ATF 107 IV 172 consid. 4 ; ATF 105 IV 157 consid. 2) ne s'oppose pas à ce principe (TF 6B_1141/2017 du 7 juin 2018 consid. 3.1 ; TF 6B_117/2015 du</w:t>
      </w:r>
    </w:p>
    <w:p>
      <w:r>
        <w:rPr>
          <w:b/>
        </w:rPr>
        <w:t>E. 8.2</w:t>
      </w:r>
    </w:p>
    <w:p>
      <w:r>
        <w:t>En l’espèce, il faut retenir cinq cas d’escroquerie sur une période de 21 mois, soit de la mi-janvier 2020 à octobre 2021, pour un préjudice global de l’ordre de 12’500 fr., si on s’en tient aux reconnaissances de dettes signées par l’appelant lors des débats de première instance (cf. jgt, pp. 8 et 9). Sur la période précitée, celle correspond donc à un produit mensuel illicite de 595 francs. Il s’agit certes d’un montant peu élevé mais qui n’est pas négligeable s’agissant d’une personne qui, à l’époque des faits, percevait 900 fr. par mois de son curateur pour ses besoins personnels. Il a en outre lui-même indiqué que ce montant n’était pas suffisant, raison pour laquelle il avait fait ces « bêtises » (P. 19, PV audition du 10 novembre 2021, ll. 12 à 13). Il a ainsi mené son activité délictueuse afin d’augmenter notablement le financement de son train de vie. A cela s’ajoutent la routine et la systématique des escroqueries commises, de même que des antécédents identiques, lesquels permettent de retenir, au-delà de tout doute raisonnable, que l’appelant est ancré dans la délinquance, singulièrement dans le domaine des infractions touchant le patrimoine d’autrui. Sur cette base, et même en retenant moins de cas que le premier juge, l’aggravante du métier reste remplie. 9. H.________ conteste le genre et la quotité de la peine prononcée en première instance. A cet égard, il conclut, principalement, au prononcé d’une peine pécuniaire de 20 jours-amende à 10 fr. le jour et, subsidiairement, d’une peine privative de liberté de 150 jours, avec sursis pendant 4 ans. Par ailleurs, il considère qu’il devrait être renoncé à la révocation des sursis qui lui ont été accordés les 19 mars 2019 et 12 janvier 2021. 9.1 9.1.1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9.1.2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9.1.3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147 IV 241 consid. 3.2 et les références citées ; ATF 144 IV 313 consid. 1.1.1 et les références citées ; TF 6B_1398/2022 du 12 mai 2023 consid. 2.1). 9.1.4 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du 9 juin 2022 consid. 5.9.1, destiné à publication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5.1).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du 23 mai 2022 consid. 1.1). 9.1.5 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9.2 La culpabilité de l’appelant est lourde. Il s’est attaqué, à plusieurs reprises et sur une longue période, au patrimoine d’autrui et ce, alors même qu’il avait déjà été condamné, à plusieurs reprises également, pour des infractions de même nature. Il n’a été animé que par l’appât du gain pour augmenter et financer son train de vie, au détriment de ses victimes. Il a en outre récidivé en cours d’enquête, puisqu’il n’a pas hésité, à remettre en vente, par trois fois, le véhicule d’M.________ alors qu’il avait été entendu par la police en février 2021 pour ce même motif. A décharge, on retiendra le fait que l’appelant a reconnu la matérialité des faits ainsi que, pour l’essentiel, les prétentions civiles des parties plaignantes. Il s’est en outre récemment acquitté d’un montant de 1'550 fr. en faveur de U.________, lequel a retiré sa plainte. En revanche, les excuses et regrets formulés lors des débats sont à relativiser. En effet, malgré ses antécédents, qui auraient dû constituer autant d’avertissements, l’appelant n’a eu cesse de commettre de nouvelles infractions contre le patrimoine d’autrui, sans aucun égard pour ses nombreuses victimes. Sa récidive en cours d’enquête démontre, à elle seule, son absence de remise en question. La persistance de l’appelant, déjà condamné à quatre reprises depuis 2015 pour des infractions de nature patrimoniale, et singulièrement pour escroquerie et abus de confiance, justifie, pour des motifs de prévention spéciale, le prononcé d’une peine privative de liberté. Du reste, l’appelant étant passablement démuni sur le plan financier, une peine pécuniaire n’aurait guère de sens et pourrait même amener l’intéressé, qui reconnaît lui-même avoir agi par manque d’argent (cf. P. 19, PV audition du 10 novembre 2021), de réitérer ses agissements criminels pour pouvoir s’en acquitter. En ce qui concerne la quotité de la peine, les escroqueries par métier, qui constituent les infractions les plus graves, justifient, à elles seules, une peine privative de liberté de 180 jours. Par l’effet du concours, celle-ci doit être augmentée de deux fois 40 jours pour les deux abus de confiance, ce qui conduit déjà au prononcé d’une peine privative de liberté 260 jours, supérieure à celle infligée par le premier juge. Dans la mesure où la quotité de la sanction prononcée par le Tribunal de police ne peut pas être augmentée sous peine de violer le principe de l’interdiction de la reformatio in pejus , la peine privative de liberté de 240 jours prononcée en première instance doit être confirmée. Celle-ci n’est pas complémentaire aux deux condamnations précédentes, lesquelles sont d’un genre différent. Au vu des antécédents de l’appelant et des récidives spéciales en cours d’enquête, qui illustrent une insensibilité à la sanction pénale, le pronostic ne peut être qu’entièrement défavorable, de sorte que la peine privative de liberté doit être ferme. Pour ces mêmes motifs, les sursis accordés le 19 mars 2019 par le Ministère public de l’arrondissement du Nord vaudois – prolongé d’un an le 23 mars 2021 – et le 12 janvier 2021 par le Ministère public du canton de Fribourg seront révoqués, l’exécution de la présente sanction pénale n’étant manifestement pas suffisante pour admettre que l’appelant se comportera correctement à l’avenir. Pour le surplus, l’amende de 800 fr. prononcée pour sanctionner les contraventions commises n’est pas contestée. Elle est adéquate et peut donc être confirmée. 10. L’appelant requiert, pour la procédure de première instance, une équitable indemnité au sens de l’art. 429 CPP d’un montant de 2'400 francs. En l'espèce, l’appelant n'a pas été défendu par un avocat de choix mais a bénéficié de l'assistance judiciaire et par ce biais d'un défenseur d'office, qui doit être rémunéré exclusivement sous l’angle de l’art. 135 CPP. Il ne saurait donc prétendre à une indemnité au sens de l’art. 429 al. 1 let. a CPP, lequel vise uniquement les frais de la défense de choix (cf. ATF 138 IV 205 consid. 1).</w:t>
      </w:r>
    </w:p>
    <w:p>
      <w:r>
        <w:rPr>
          <w:b/>
        </w:rPr>
        <w:t>E. 11</w:t>
      </w:r>
    </w:p>
    <w:p>
      <w:r>
        <w:t>En définitive, l’appel doit être partiellement admis et le jugement entrepris réformé au chiffre I de son dispositif et complété par l’adjonction d’un chiffre I bis , dans le sens des considérants. Me Elodie Fuentes, défenseur d’office, a produit une liste d’opérations dans laquelle elle indique une activité d’avocat de 5h55. Cette durée, adéquate pour l’essentiel, sera augmentée de 15 minutes pour tenir compte d’un « entretien client après audience » mais réduite de 30 minutes, les débats ayant duré moitié moins que les 60 minutes alléguées à ce titre. Au tarif horaire de 180 fr., l’indemnité de défenseur d'office qui doit être allouée pour la procédure d'appel s’élève à 1’249 fr. 75, soit des honoraires de 1'020 fr., auxquels s’ajoutent les débours forfaitaires de 2 %, par 20 fr. 40, une vacation, par 120 fr., et la TVA sur le tout par 89 fr. 35. En revanche, pour les motifs exposés ci-dessus (cf. supra consid. 10), il n’y pas lieu d’allouer en sus de l’indemnité de défenseur d’office une indemnité fondée sur l’art. 429 CPP. Vu l’issue de la cause, les frais de la procédure d’appel, par 4'069 fr. 75, constitués de l’émoluments de jugement et d’audience, par 2’820 fr. (art. 21 al. 1 et 2 TFIP [tarif des frais de procédure et indemnités en matière pénale du 28 septembre 2010 ; BLV 312.03.1]), et de l’indemnité due au défenseur d’office, par 1’249 fr. 75, seront mis par quatre cinquièmes, soit par 3’255 fr. 80, à la charge de H.________, qui succombe dans cette mesure (art. 428 al. 1 CPP). H.________ sera tenu de rembourser à l’Etat les quatre cinquièmes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