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311 vom 25. Februar 2021</w:t>
      </w:r>
    </w:p>
    <w:p>
      <w:r>
        <w:t>VD Tribunal cantonal, 2021-02-25, FR</w:t>
      </w:r>
    </w:p>
    <w:p>
      <w:r>
        <w:rPr>
          <w:b/>
        </w:rPr>
        <w:t xml:space="preserve">Quelle: </w:t>
      </w:r>
      <w:r>
        <w:t>https://mcp.opencaselaw.ch/entscheid/vd_findinfo_Jug___2023___311</w:t>
      </w:r>
    </w:p>
    <w:p>
      <w:r>
        <w:t>FR: VD_FINDINFO Jug / 2023 / 311 du 25 février 2021</w:t>
      </w:r>
    </w:p>
    <w:p>
      <w:r>
        <w:t>IT: VD_FINDINFO Jug / 2023 / 311 del 25 febbraio 2021</w:t>
      </w:r>
    </w:p>
    <w:p>
      <w:pPr>
        <w:pStyle w:val="Heading2"/>
      </w:pPr>
      <w:r>
        <w:t>Regeste</w:t>
      </w:r>
    </w:p>
    <w:p>
      <w:r>
        <w:t>DEMANDE ADRESSÉE À L'AUTORITÉ, RÉVISION{DÉCISION}, PROCÉDURE ÉCRITE, DÉCISION D'IRRECEVABILITÉ | 410 al. 1 let. a CPP (CH), 412 al. 2 CPP (CH)</w:t>
      </w:r>
    </w:p>
    <w:p>
      <w:pPr>
        <w:pStyle w:val="Heading2"/>
      </w:pPr>
      <w:r>
        <w:t>Erwägungen</w:t>
      </w:r>
    </w:p>
    <w:p>
      <w:r>
        <w:rPr>
          <w:b/>
        </w:rPr>
        <w:t>E. 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w:t>
      </w:r>
    </w:p>
    <w:p>
      <w:r>
        <w:rPr>
          <w:b/>
        </w:rPr>
        <w:t>E. 2</w:t>
      </w:r>
    </w:p>
    <w:p>
      <w:r>
        <w:t>En l’espèce, dans son arrêt du 8 juin 2022, le Tribunal fédéral n’a pas complété ni rectifié les faits établis par la Cour d’appel pénale dans son jugement du 1 er juillet 2021, de sorte que cette dernière autorité est compétente pour examiner les moyens invoqués par la requérante ( ATF 134 IV 48 consid. 1 ; TF 6F_30/2020 du 28 octobre 2020 consid. 3.2 ; TF 6F_16/2020 du 3 juin 2020 consid. 1.1 ; TF 6F_32/2019 du 9 janvier 2020 consid. 1.1). La requérante fait valoir que « Deux experts psychiatres ont clairement écrit que je crois à 100 % ce que je dénonce dont (sic) ma condamnation pour dénonciation calomnieuse doit être révisée ! La stagiaire de mon avocat d’office de l’époque n’avait même pas lu le dossier ». Or la requérante n’indique ni à quels experts ni à quels rapports elle se réfère, de sorte que la Cour de céans n’est pas en mesure d’examiner si ces éléments constituent un motif de révision. La requérante produit une copie du procès-verbal du Tribunal de police du canton de Genève du 27 mars 2023 (P. 89/10), mais elle n’explique pas en quoi le contenu de cette pièce démontrerait que les éléments objectifs et subjectifs de l’infraction de dénonciation calomnieuse ne se seraient plus réalisés. En outre, les pièces 89/1 à 89/9, qui sont datées de la période entre le 12 décembre 2016 et le 8 février 2021, auraient pu être présentées au premier procès, de sorte qu’elles ne justifient pas un motif de révision. Quant à la pièce 90, elle est dépourvue de toute pertinence puisqu’elle ne concerne pas le fond du jugement à réviser, mais uniquement son exécution. Il résulte de ce qui précède que la requérante ne présente aucun fait ou moyen de preuve nouveau et sérieux propre à ébranler les constatations de fait sur lesquelles s'est fondée sa condamnation du 1 er juillet 2021. La demande de révision doit par conséquent être déclarée irrecevable (art. 412 al. 2 CPP).</w:t>
      </w:r>
    </w:p>
    <w:p>
      <w:r>
        <w:rPr>
          <w:b/>
        </w:rPr>
        <w:t>E. 3</w:t>
      </w:r>
    </w:p>
    <w:p>
      <w:r>
        <w:t>Dans la mesure où la demande de révision apparaissait d'emblée dénuée de chances de succès, la requête d'assistance judiciaire d’E.________ doit être rejetée.</w:t>
      </w:r>
    </w:p>
    <w:p>
      <w:r>
        <w:rPr>
          <w:b/>
        </w:rPr>
        <w:t>E. 4</w:t>
      </w:r>
    </w:p>
    <w:p>
      <w:r>
        <w:t>Vu l’issue de la cause, les frais de la procédure de révision, par 550 fr. (art. 21 al. 1 TFIP [tarif des frais de procédure et indemnités en matière pénale du 28 septembre 2010 ; BLV 312.03.1] par renvoi de l’art. 22 TFIP), seront mis à la charge de la requérante,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