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292 vom 3. März 2023</w:t>
      </w:r>
    </w:p>
    <w:p>
      <w:r>
        <w:t>VD Tribunal cantonal, 2023-03-03, FR</w:t>
      </w:r>
    </w:p>
    <w:p>
      <w:r>
        <w:rPr>
          <w:b/>
        </w:rPr>
        <w:t xml:space="preserve">Quelle: </w:t>
      </w:r>
      <w:r>
        <w:t>https://mcp.opencaselaw.ch/entscheid/vd_findinfo_Jug___2023___292</w:t>
      </w:r>
    </w:p>
    <w:p>
      <w:r>
        <w:t>FR: VD_FINDINFO Jug / 2023 / 292 du 3 mars 2023</w:t>
      </w:r>
    </w:p>
    <w:p>
      <w:r>
        <w:t>IT: VD_FINDINFO Jug / 2023 / 292 del 3 marzo 2023</w:t>
      </w:r>
    </w:p>
    <w:p>
      <w:pPr>
        <w:pStyle w:val="Heading2"/>
      </w:pPr>
      <w:r>
        <w:t>Regeste</w:t>
      </w:r>
    </w:p>
    <w:p>
      <w:r>
        <w:t>VOIES DE FAIT, MENACE{DROIT PÉNAL}, PEINE PRIVATIVE DE LIBERTÉ, PEINE PÉCUNIAIRE, TORT MORAL | 49 CO, 126 al. 1 CP, 126 al. 2 CP, 180 CP, 34 CP, 40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d’N.________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S’agissant des faits décrits sous chiffre 2 de l’acte d’accusation, l’appelant conteste tout excès de légitime défense. Il explique avoir agi pour arrêter les débordements de A.S.________, qui venait de lui lancer une tasse au visage et dont l’impulsivité et les réactions violentes seraient avérées. Par ailleurs, invoquant une constatation erronée des faits ainsi qu’une violation du principe in dubio pro reo , l’appelant conteste sa condamnation pour voies de fait qualifiées en lien avec les faits mentionnés sous chiffre 3 de l’acte d’accusation.</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w:t>
      </w:r>
    </w:p>
    <w:p>
      <w:r>
        <w:rPr>
          <w:b/>
        </w:rPr>
        <w:t>E. 3.1.2</w:t>
      </w:r>
    </w:p>
    <w:p>
      <w:r>
        <w:t>Les voies de fait ne sont en principe punissables que sur plainte (cf. art. 126 al. 1 CP [Code pénal suisse du 21 décembre 1937 ; RS 311.0]). Elles se poursuivent toutefois d'office dans les cas énumérés à l'art. 126 al. 2 CP, qui, pour chacune des hypothèses prévues, implique que l'auteur ait agi à réitérées reprises. Cette hypothèse ne se confond pas avec celle de la volée de coups, qui ne constitue qu'un seul et même événement, et qui forme en ce sens une unité naturelle d'actions. Deux cas distincts ne suffisent pas non plus. Il faut au contraire que l'auteur s'en prenne physiquement à une même victime en plusieurs occasions différentes, de façon à dénoter une certaine habitude (Dupuis et al. [éd.], Code pénal, Petit commentaire, 2 e édition, Bâle 2017, n. 13 ad art. 126 CP et les références citées).</w:t>
      </w:r>
    </w:p>
    <w:p>
      <w:r>
        <w:rPr>
          <w:b/>
        </w:rPr>
        <w:t>E. 3.1.3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6B_508/2021 du 14 janvier 2022 consid. 1.4.1 ; TF 6B_903/2020 du 10 mars 2021 consid. 4.2).</w:t>
      </w:r>
    </w:p>
    <w:p>
      <w:r>
        <w:rPr>
          <w:b/>
        </w:rPr>
        <w:t>E. 3.2</w:t>
      </w:r>
    </w:p>
    <w:p>
      <w:r>
        <w:t>Selon le chiffre 2 de l’acte d’accusation, A.S.________ a, le</w:t>
      </w:r>
    </w:p>
    <w:p>
      <w:r>
        <w:rPr>
          <w:b/>
        </w:rPr>
        <w:t>E. 8</w:t>
      </w:r>
    </w:p>
    <w:p>
      <w:r>
        <w:t>décembre 2021, frappé N.________ au visage, ensuite de quoi ce dernier lui a donné plusieurs claques au visage et sur la tête. Le lendemain, selon le chiffre 3 de l’acte d’accusation, il a empoigné sa compagne par les cheveux, lui a serré la tête et lui a tordu la nuque. S’agissant du chiffre 2 de l’acte d’accusation, la Cour de céans relèvera tout d’abord que, contrairement à ce qu’a retenu le premier juge, la légitime défense n’entre pas en ligne de compte puisque l’appelant n’a pas agi pour se défendre mais pour riposter au coup que lui avait porté sa compagne. Il ne saurait dès lors bénéficier de ce fait justificatif. Pour le reste, l’appelant admet les faits, lesquels sont constitutifs de voies de fait. Cela étant, les deux épisodes distincts décrits ci-dessus ne suffisent pas à retenir que l’appelant a agi à réitérées reprises au sens de l’art. 126 al. 2 CP, de sorte que la poursuite ne peut avoir lieu d’office. A.S.________ ayant retiré sa plainte, il convient, par conséquent, de libérer l’appelant s’agissant des faits mentionnés sous chiffres 2 et 3 de l’acte d’accusation. 4. Invoquant une constatation erronée des faits, l’appelant conteste sa condamnation pour injure et menaces en lien avec les faits décrits sous chiffre 5 de l’acte d’accusation (cf. supra En fait, C. 2.1). Il admet avoir envoyé des messages injurieux mais explique qu’il était désespéré de ne plus voir ses enfants. De plus, il affirme avoir rédigé de nombreux messages en réaction à ceux qu’il avait lui-même reçus de son ex-compagne, de sorte que le premier juge aurait dû faire application des al. 2 et 3 de l’art. 177 CP. Enfin, s’agissant des menaces, il soutient que les intimés n’auraient pas été effrayés au sens l’art. 180 CP. 4.1 4.1.1 L'art.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(ATF 117 IV 270 consid. 2c ; TF 6B_938/2017 du 2 juillet 2018 consid. 5.3.2 et les références citées). Si l’injurié a riposté immédiatement par une injure ou par des voies de fait, le juge pourra exempter de toute peine les deux délinquants ou l’un d’eux (art. 177 al. 3).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 6B_826/2019 du 21 janvier 2020 consid. 4 ; TF 6B_938/2017 du 2 juillet 2018 consid. 5.3.2). 4.1.2 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6B_1054/2021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6B_1054/2021 précité). Subjectivement, l'auteur doit avoir l'intention non seulement de proférer des menaces graves, mais aussi d'alarmer ou d'effrayer le destinataire. Le dol éventuel suffit (TF 6B_508/2021 du 14 janvier 2022 consid. 2.1 ; TF 6B_135/2021 du 27 septembre 2021 consid. 3.1 ; TF 6B_1314/2018 précité). 4.2 Il résulte des pièces au dossier, en particulier celles versées sous pièce 18/2, qu’entre l’appelant et A.S.________, les insultes étaient réciproques. On ne saurait toutefois faire application de l’art. 177 al. 2 et 3 CP, tant celles-ci étaient nombreuses et ont perduré dans le temps. Par ailleurs, elles ont été échangées par courriels ou via Whatsapp, ce qui réduit l’immédiateté de la réaction et devrait, en principe, permettre un temps de réflexion. Au vu de ce contexte, on ne saurait donc considérer que l’appelant a agi, de manière immédiate, sous le coup d’une émotion. Partant, sa condamnation pour injure doit être confirmée. S’agissant des menaces décrites sous chiffre 5 de l’acte d’accusation, lors des débats de première instance, A.S.________ a confirmé avoir été effrayée par les messages reçus de l’appelant (cf. jgt, pp. 9 et 10). Elle a également exprimé ses craintes au cours de l’instruction, notamment dans son courrier du 5 octobre 2022 (P. 18/1 ; « […] je me barricadais chez moi suite à ses menaces, afin que je puisse dormir « sans crainte », sachant qu’il avait encore les clés […] »). De plus, dans son rapport du 13 août 2022, la police a relevé que, selon ses déclarations, l’intimée avait été menacée de mort et que l’appelant se présentait souvent en bas de son immeuble ou de celui de ses parents, « ce qui ne la rassur [ait] pas » (P. 11, p. 3). De son côté, Q.________ a confirmé les craintes de son amie, en particulier dans son courrier du 3 septembre 2022 (P. 17/1), dans lequel a indiqué que cette dernière vivait des « moments de peur et d’angoisse » et qu’il l’avait vue « barricader sa porte de peur que [l’appelant] n’essaie d’entrer ». Il a en outre déclaré, lors des débats d’appel, qu’il avait discuté avec l’intimée des messages en question et que celle-ci avait peur. Il a précisé : « C’était très difficile pour Mme A.S.________ » (cf. supra p. 4). Il a également confirmé, tant en première instance qu’en appel, qu’il avait lui-même également eu peur de ces messages (cf. jgt, p. 11 ; supra p. 4). Enfin, la Cour de céans relèvera que la nature des propos tenus par l’appelant (cf. supra pp. 10 et 11) était suffisamment inquiétante, au vu de l’impulsivité de ce dernier, pour constituer une menace grave et susciter une peur légitime chez les intimés. Il n’existe ainsi aucun doute sur le fait que tant Q.________ que A.S.________ ont été effectivement effrayés par les messages de l’appelant. Il s’ensuit que la condamnation d’N.________ pour menaces et menaces qualifiées doit être confirmée. 5. L’appelant conteste le genre et la quotité des peines prononcées. Il soutient qu’une peine pécuniaire aurait dû être préférée à une peine privative de liberté et qu’elle ne devrait pas excéder 60 jours-amende à 50 fr. le jour.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5.1.3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 5.2 L’appelant doit être condamné pour lésions corporelles simples, dommages à la propriété, injure, menaces et menaces qualifiées. Sa culpabilité est lourde. Certes, les faits se sont déroulés, pour l’essentiel, dans le cadre d’une séparation houleuse, émaillée de violences verbales et physiques réciproques, mais il n’en demeure pas moins que l’appelant a agi à plusieurs reprises, tant à l’égard de son ex-compagne que du nouvel ami de celle-ci, dans la durée, et ceci même après l’ouverture de la présente procédure pénale. Son comportement était égoïste. On relèvera toutefois, outre le contexte passionnel évoqué ci-dessus, que l’appelant a admis les faits, qu’il a probablement souffert d’avoir été empêché, durant un certain temps, de voir ses enfants et qu’il n’a pas d’antécédents, même s’il faut rappeler que ce dernier élément est neutre du point de vue de la fixation de la peine (ATF 141 IV 61 consid. 6.3.2 ; TF 6B_938/2019 du 18 novembre 2019 consid. 3.3). Les lésions corporelles simples justifient, pour des motifs de prévention spéciale, le prononcé d’une peine privative de liberté. En effet, l’appelant s’en est pris à un homme, qui ne l’avait aucunement provoqué et qui n’avait rien à voir avec sa séparation. De plus, son comportement est inquiétant, dans la mesure où il semble avoir de la peine à contenir son impulsivité. Celle-ci a d’ailleurs été constatée tant par le premier juge (cf. jgt, p. 42) que par la Cour de céans, l’appelant ayant à plusieurs reprises interrompu, de façon parfois véhémente, les prises de parole de l’intimé et de son conseil. Il a de plus agi alors qu’il se savait faire l’objet d’une procédure pénale. Compte tenu de sa culpabilité, l’infraction de lésions corporelles simples doit être sanctionnée d’une peine privative de liberté de 3 mois. S’agissant des autres infractions, une peine pécuniaire sera prononcée. Elle sera fixée à 90 jours-amende, soit 45 jours-amende pour les menaces et menaces qualifiées, 30 jours-amende pour les injures et 15 jours-amende pour les dommages à la propriété. Au vu de la situation financière et personnelle de l’appelant, le montant du jour-amende sera de 30 francs. Les conditions objectives et subjectives du sursis sont réalisées (art. 42 al. 1 CP). Le délai d’épreuve fixé en première instance à quatre ans doit être confirmé dès lors qu’il convient de s’assurer, compte tenu du comportement violent et de l’impulsivité de l’appelant, qu’il renonce sur le long terme à commettre de nouvelles infractions (art. 44 al. 1 CP). 6. L’appelant conteste les conclusions civiles allouées par le premier juge. D’une part, aucune indemnité pour tort moral ne devrait être octroyée à A.S.________ et, d’autre part, Q.________ devrait voir la sienne réduite à 500 francs. 6.1 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6.2 Selon le rapport de l’Unité des médecines des violences du 25 août 2022, Q.________ a présenté, à la suite des coups infligés par l’appelant, plusieurs ecchymoses rougeâtres au niveau de la joue droite, une ecchymose jaunâtre dans la région pectorale droite et diverses ecchymoses et dermabrasions au niveau du membre supérieur gauche. Lors de la consultation, il s’est également plaint de douleurs en regard de l’articulation temporo-mandibulaire droite lors de la mastication et de l’ouverture buccale, de douleurs sous la clavicule droite à la palpation, costales gauches à la mobilisation et à la respiration ainsi qu’au bras gauche de type courbatures (P. 17/2). Au vu des lésions subies, l’indemnité pour tort moral de 2'000 fr., avec intérêt à 5 % l’an dès le 1 er mars 2023, allouée par le premier juge, ne prête pas le flanc à la critique. Elle sera dès lors confirmée. En revanche, il n’y a pas lieu d’allouer une indemnité pour tort moral à A.S.________ dès lors que les injures et menaces étaient réciproques, comme cela ressort des nombreux messages échangés entre les parties (cf. P. 18/2). L’appel sera admis sur ce point. 7. En définitive, l’appel doit être partiellement admis et le jugement entrepris modifié aux chiffres I, II, III et V de son dispositif, dans le sens des considérants qui précèdent. En revanche, nonobstant l’abandon du chef d’accusation de voies de fait qualifiées, il n’y a pas lieu de revenir sur la répartition des frais de première instance, dès lors qu’en s’en prenant physiquement à son ex-compagne, l’appelant a porté atteinte à un droit absolu de la personnalité de cette dernière (art. 28 CC) et a donc provoqué, par un comportement fautif et contraire à une règle de l’ordre juridique, l’ouverture de la procédure pénale à raison de ces faits. Me Lise-Marie Gonzalez Pennec, défenseur d’office, a produit une liste d’opérations dans laquelle elle indique une activité de 10h20 d’avocat breveté et de 4h30 d’avocat-stagiaire. En l’occurrence, le temps consacré à la « rédaction du recours » (4h00) et aux « recherches juridiques sur le tort moral + rédaction appel (fin) + lettre au Tribunal cantonal + 2bt » (3h30), soit 7h30 au total, est excessif. Il sera réduit à 5h30. Au tarif horaire de 180 fr. pour l’avocat breveté et de 110 fr. pour l’avocat-stagiaire (cf. art. 2 al. 1 RAJ [règlement sur l'assistance judiciaire en matière civile du 7 décembre 2010 ; BLV 211.02.3] ; ATF 137 III 185), l’indemnité de défenseur d'office qui doit être allouée pour la procédure d'appel s’élève à 2'277 fr. 75, soit des honoraires de 1'995 fr. (1’500 fr. pour l’avocat breveté + 495 fr. pour l’avocat-stagiaire), auxquels s’ajoutent les débours forfaitaires de 2 %, par 39 fr. 90, une vacation, par 80 fr. (tarif pour l’avocat-stagiaire), et la TVA sur le tout par 162 fr. 85. Vu l’issue de la cause, les frais de la procédure d’appel, par 4'657 fr. 15, constitués de l’émoluments de jugement et d’audience, par 2’380 fr. (art. 21 al. 1 et 2 TFIP [tarif des frais de procédure et indemnités en matière pénale du 28 septembre 2010 ; BLV 312.03.1]), et de l’indemnité due au défenseur d’office, par 2'277 fr. 75, seront par moitié, soit par 2'328 fr. 55, à la charge d’N.________ et par un quart, soit par 1’164 fr. 25, à la charge de A.S.________, qui succombe s’agissant de ses conclusions en tort moral (art. 428 al. 1 CPP), le solde étant laissé à la charge de l’Etat. Par ailleurs, les intimés, qui ont conclu au rejet de l’appel, ont droit à une indemnité pour les dépenses occasionnées par la procédure d’appel. Leur conseil, Me Céline Jarry-Lacombe, a produit une liste d’opérations faisant état d’une activité de 8h05. Cette durée sera réduite de 1h10. En effet, les débats d’appel ont duré un peu moins d’une heure, en lieu et place des 2h00 indiquées. De plus, s’agissant d’un travail de secrétariat, il n’y a pas lieu de rémunérer 10 minutes consacrées, le 9 mai et 6 juin 2023, à des « avis de transmission par courriel ». C’est donc un total de 6h55 qui sera indemnisé, dont 6h25 effectuées par l’avocat stagiaire. Par ailleurs, il découle de l’art. 26a al. 3 TFIP que le tarif horaire déterminant (hors TVA) est de 250 fr. au minimum et de 350 fr. au maximum pour l'activité déployée par un avocat. Il est de 160 fr. pour un avocat stagiaire. Le tarif horaire de 350 fr. pour l’avocat breveté réclamé par les intimés sera ramené à 300 fr., la cause ne présentant pas de complexité particulière et ressortant de la compétence d’un tribunal de police. Quant au tarif horaire de l’avocat stagiaire, il sera ramené à 160 francs. En définitive, c’est donc, au total, une indemnité de 1'340 fr. 60, correspondant à 30 minutes d’activité d’avocat breveté au tarif horaire de 300 fr., à 6h25 d’activité d’avocat stagiaire au tarif horaire de 160 fr., à des débours, par 34 fr. 30 et à la TVA sur le tout, par 93 fr. 30, qui sera allouée. Celle-ci sera octroyée par moitié, soit par 652 fr. 30, à Q.________, et, pour tenir compte de la répartition des frais, par un quart, soit par 335 fr. 15, à A.S.________. N.________ sera tenu de rembourser à l’Etat la moitié de l’indemnité en faveur de son défenseur d’office dès que sa situation financière le permettra. A cet égard, le dispositif du jugement notifié le 20 juillet comporte une erreur de plume, dans la mesure où la part de l’indemnité à rembourser à l’Etat n’est pas mentionnée.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