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265 vom 7. Oktober 2020</w:t>
      </w:r>
    </w:p>
    <w:p>
      <w:r>
        <w:t>VD Tribunal cantonal, 2020-10-07, FR</w:t>
      </w:r>
    </w:p>
    <w:p>
      <w:r>
        <w:rPr>
          <w:b/>
        </w:rPr>
        <w:t xml:space="preserve">Quelle: </w:t>
      </w:r>
      <w:r>
        <w:t>https://mcp.opencaselaw.ch/entscheid/vd_findinfo_Jug___2023___265</w:t>
      </w:r>
    </w:p>
    <w:p>
      <w:r>
        <w:t>FR: VD_FINDINFO Jug / 2023 / 265 du 7 octobre 2020</w:t>
      </w:r>
    </w:p>
    <w:p>
      <w:r>
        <w:t>IT: VD_FINDINFO Jug / 2023 / 265 del 7 ottobre 2020</w:t>
      </w:r>
    </w:p>
    <w:p>
      <w:pPr>
        <w:pStyle w:val="Heading2"/>
      </w:pPr>
      <w:r>
        <w:t>Regeste</w:t>
      </w:r>
    </w:p>
    <w:p>
      <w:r>
        <w:t>DÉCISION D'IRRECEVABILITÉ, RÉVISION{DÉCISION} | 410 al. 1 let. a CPP (CH), 412 al. 2 CPP (CH)</w:t>
      </w:r>
    </w:p>
    <w:p>
      <w:pPr>
        <w:pStyle w:val="Heading2"/>
      </w:pPr>
      <w:r>
        <w:t>Erwägungen</w:t>
      </w:r>
    </w:p>
    <w:p>
      <w:r>
        <w:rPr>
          <w:b/>
        </w:rPr>
        <w:t>E. 1.1</w:t>
      </w:r>
    </w:p>
    <w:p>
      <w:r>
        <w:t>L’art. 410 al. 1 let. a CPP (Code de procédure pénale suisse du 5 octobre 2007 ;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ou plus sévère du condamné ou encore la condamnation de la personne acquittée. Dans cette hypothèse, la demande de révision n'est soumise à aucun délai (art. 411 al. 2 2 e phr. CPP). La procédure du rescindant instituée par le CPP se déroule, en principe, en deux phases, à savoir un examen préalable de la recevabilité (art. 412 al. 1 et 2 CPP) et un examen des motifs invoqués (art. 412 al. 3 et 4 et 413 CPP). Il s’agit de deux étapes d’une seule et même procédure, pour laquelle la juridiction d’appel est compétente (art. 412 al. 1 et 3 CPP). L'examen préalable de la demande de révision relève de la procédure écrite (art. 412 al. 1 CPP).</w:t>
      </w:r>
    </w:p>
    <w:p>
      <w:r>
        <w:rPr>
          <w:b/>
        </w:rPr>
        <w:t>E. 1.2</w:t>
      </w:r>
    </w:p>
    <w:p>
      <w:r>
        <w:t>L'art. 410 al. 1 let. a CPP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[ci-après : Message], FF 2006 II 1057 ss, spéc. 1303). Les faits ou moyens de preuve sont nouveaux lorsque le juge n'en a pas eu connaissance au moment où il s'est prononcé, c'est-à-dire lorsqu'ils ne lui ont pas été soumis sous quelque forme que ce soit (ATF 137 IV 59 consid. 5.1.2 ; ATF 130 IV 72 consid. 1). Ils sont sérieux lorsqu'ils sont propres à ébranler les constatations de fait sur lesquelles se fonde la condamnation et que l'état de fait ainsi modifié rend possible un jugement sensible­ment plus favorable au condamné (ATF 145 IV 197 consid. 1.1 ; ATF 137 IV 59 précité consid. 5.1.4 ; TF 6B_731/2020 du 1 er juillet 2020 consid. 2.1). Par fait, on entend les circonstances susceptibles d’être prises en considération dans l’état de fait qui fonde le jugement (ATF 141 IV 93 consid. 2.3). Le fait invoqué devait déjà exister avant l’entrée en force du premier jugement ; un fait postérieur à ce moment ne saurait entrer en considération (ATF 141 IV 349 consid. 2.2 ; TF 6B_836/2016 du 7 mars 2017 consid. 1.3.2 ; Message, p. 1304). Un fait survenu après le jugement dont la révision est demandée n’est pas considéré comme inconnu (ATF 145 IV 383 consid. 2.3 ; TF 6B_731/2020 du 1er juillet 2020 consid. 2.3). Un fait qui n’existait pas au moment du jugement et qui survient ensuite n’est pas nouveau. En revanche, le moyen de preuve découvert postérieurement au jugement et le fait qui existait déjà au moment du jugement mais qui n’a été révélé qu’ensuite, doivent être considéré comme nouveaux (TF 6B_455/2011 du 29 novembre 2011 consid. 1.3 ; Moreillon/Parein-Reymond, Petit commentaire, Code de procédure pénale, 2 e éd., Bâle 2016, n. 19a ad art. 410 CPP). En vertu de l'art. 412 al. 2 CPP, la juridiction d'appel n'entre pas en matière sur la demande de révision si celle-ci est manifestement irrecevable ou non motivée ou si une demande de révision invoquant les mêmes motifs a déjà été rejetée par le passé. Cet examen préalable et sommaire porte principalement sur les conditions formelles de recevabilité de la demande de révision. L'autorité saisie peut toutefois également refuser d'entrer en matière si les motifs de révision invoqués apparaissent d'emblée non vraisemblables ou mal fondés (ATF 144 IV 121 consid. 1.8 ; ATF 143 IV 122 consid. 3.5 ; TF 6B_297/2020 du 10 juillet 2020 consid. 1.1.2), ou encore lorsque la demande de révision apparaît abusive (TF 6B_813/2020 du 22 juillet 2020 consid. 1.1 ; TF 6B_297/2020 précité et les références citées ; TF 6B_324/2019 du 24 avril 2019 consid. 3.1 et réf. cit.). Le refus d'entrer en matière s'impose alors pour des motifs d'économie de procédure, car si la situation est évidente, il n'y a pas de raison que l'autorité requière des déterminations (art. 412 al.</w:t>
      </w:r>
    </w:p>
    <w:p>
      <w:r>
        <w:rPr>
          <w:b/>
        </w:rPr>
        <w:t>E. 1.2.1</w:t>
      </w:r>
    </w:p>
    <w:p>
      <w:r>
        <w:t>et réf. cit.). Le motif de révision d’emblée non vraisemblable se conçoit en lien avec l’examen des faits et des moyens de preuves invoqués à l’appui de la demande de révision. 2. A l’appui de sa demande, R.________ conteste sa condamnation pour infraction à la LCD et entend faire connaître les raisons qui ont conduit N.________ à manipuler les faits pour le faire condamner. Il soutient qu’il n’avait aucune chance d’être jugé équitablement en raison de la complicité des avocats, des politiciens, des magistrats et des fonctionnaires en faveur du crime organisé. Il expose en substance qu’il vient d’apprendre que N.________ avait déposé de multiples plaintes abusives pour préserver les intérêts des membres de son milieu familial, que les condamnations des membres d’[...] n’ont été possibles que grâce à des enquêtes arbitraires, que des prestations ont été accordées aux plaignants ayant agi contre lui, lesquels sont tous juges, avocats ou conseiller d’Etat, et qu’il a déposé une plainte pénale auprès du Ministère public de la Confédération contre l’avocat qui l’avait défendu dans le canton de Fribourg et qui l’avait trahi. Les griefs invoqués par le requérant ne constituent pas de vrais motifs de révision. Ses allégations, hors de propos et dépourvues de toute pertinence, n’apportent pas d’éléments nouveaux déterminants pour le sort de la présente demande de révision. Il ne s’agit donc pas de faits ou de moyens de preuve nouveaux et sérieux au sens de l’art. 410 al. 1 CPP susceptibles d’ébranler le raisonnement du premier juge et de la Cour d’appel pénale, et de conduire à son acquittement ou à une sanction moins sévère.</w:t>
      </w:r>
    </w:p>
    <w:p>
      <w:r>
        <w:rPr>
          <w:b/>
        </w:rPr>
        <w:t>E. 3</w:t>
      </w:r>
    </w:p>
    <w:p>
      <w:r>
        <w:t>Il résulte de ce qui précède que la demande de révision de R.________ doit être déclarée irrecevable, sans échange d’écritures (art. 412 al. 2 CPP). Vu le sort de la cause, les frais de la procédure de révision, constitués en l’espèce du seul émolument de jugement, par 440 fr. (art. 21 al. 1 et 22 TFIP [Tarif des frais de procédure et indemnités en matière pénale du 28 septem­- bre 2010 ; BLV 312.03.1]), seront mis à la charge du requérant, qui succombe (art. 428 al. 1, 2 e phr.,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