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247 vom 31. Januar 2023</w:t>
      </w:r>
    </w:p>
    <w:p>
      <w:r>
        <w:t>VD Tribunal cantonal, 2023-01-31, FR</w:t>
      </w:r>
    </w:p>
    <w:p>
      <w:r>
        <w:rPr>
          <w:b/>
        </w:rPr>
        <w:t xml:space="preserve">Quelle: </w:t>
      </w:r>
      <w:r>
        <w:t>https://mcp.opencaselaw.ch/entscheid/vd_findinfo_Jug___2023___247</w:t>
      </w:r>
    </w:p>
    <w:p>
      <w:r>
        <w:t>FR: VD_FINDINFO Jug / 2023 / 247 du 31 janvier 2023</w:t>
      </w:r>
    </w:p>
    <w:p>
      <w:r>
        <w:t>IT: VD_FINDINFO Jug / 2023 / 247 del 31 gennaio 2023</w:t>
      </w:r>
    </w:p>
    <w:p>
      <w:pPr>
        <w:pStyle w:val="Heading2"/>
      </w:pPr>
      <w:r>
        <w:t>Regeste</w:t>
      </w:r>
    </w:p>
    <w:p>
      <w:r>
        <w:t>INCENDIE INTENTIONNEL, COAUTEUR{DROIT PÉNAL}, OMISSION, FRAIS DE LA PROCÉDURE | 221 CP, 426 al. 1 CPP (CH)</w:t>
      </w:r>
    </w:p>
    <w:p>
      <w:pPr>
        <w:pStyle w:val="Heading2"/>
      </w:pPr>
      <w:r>
        <w:t>Erwägungen</w:t>
      </w:r>
    </w:p>
    <w:p>
      <w:r>
        <w:rPr>
          <w:b/>
        </w:rPr>
        <w:t>E. 1</w:t>
      </w:r>
    </w:p>
    <w:p>
      <w:r>
        <w:t>Interjeté dans les formes et délais légaux (art. 399 CPP [Code de procédure pénale suisse du 5 octobre 2007 ; RS 312.0]) par une partie qui a la qualité pour recourir contre le jugement d'un tribunal de première instance ayant clos la procédure (art. 398 al. 1 CPP), l'appel de H.________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conteste sa condamnation pour incendie intentionnel. Il fait valoir que le simple fait qu’il n’ait pas empêché son comparse d’agir ou qu’il n’ait pas appelé les secours ne permettrait pas de lui reprocher la commission de l’infraction par omission, faute de position de garant. Il conteste en outre toute volonté commune, avec R.________, de causer un incendie. Il soutient à cet égard qu’il aurait au contraire toujours exposé avoir tenté de s’opposer aux agissements de son comparse ou avoir à tout le moins montré sa désapprobation, et souligne n’avoir d’ailleurs eu aucun rôle actif dans la mise à feu du sachet à l’origine de l’incendie. Il fait encore valoir qu’on ne pourrait pas déduire du fait qu’il ait filmé la scène qu’il aurait adhéré à la réalisation de l’infraction ou qu’il aurait conforté son acolyte dans son entreprise délictueuse, relevant que la vidéo n’avait été prise qu’une fois l’incendie déjà en cours et qu’elle n’avait jamais été publiée sur les réseaux sociaux.</w:t>
      </w:r>
    </w:p>
    <w:p>
      <w:r>
        <w:rPr>
          <w:b/>
        </w:rPr>
        <w:t>E. 3.2</w:t>
      </w:r>
    </w:p>
    <w:p>
      <w:r>
        <w:t>A teneur de l’art. 221 CP (Code pénal suisse du 21 décembre 1937 ; RS 311.0), celui qui, intentionnellement, aura causé un incendie et aura ainsi porté préjudice à autrui ou fait naître un danger collectif sera puni d’une peine privative de liberté d’un an au moins (al. 1). Le juge pourra prononcer une peine privative de liberté de trois au plus ou une peine pécuniaire si le dommage est de peu d’importance (al. 3). Une infraction qui suppose une action, comme l’incendie, peut aussi être commise par omission si l’auteur est resté passif au mépris d’une obligation juridique qui lui commandait d’agir pour éviter le résultat (cf. art. 11 CP) (TF 6B_477/2011 du 24 novembre 2011).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 TF 6B_209/2018 du 23 novembre 2018 consid. 2.1.2).</w:t>
      </w:r>
    </w:p>
    <w:p>
      <w:r>
        <w:rPr>
          <w:b/>
        </w:rPr>
        <w:t>E. 3.3</w:t>
      </w:r>
    </w:p>
    <w:p>
      <w:r>
        <w:t>Le premier juge a retenu que l’appelant avait adhéré au projet de son comparse puisqu’il n’avait pas tenté de le dissuader d’éteindre le feu, prenant au contraire le soin de filmer l’incendie plutôt que d’appeler les pompiers. Il a considéré que la théorie du prévenu tendant à soutenir qu’il aurait filmé la scène afin de prouver qu’il n’en était pas l’auteur n’était pas crédible et corroborait sa participation en tant que coauteur. Il a de plus estimé qu’en quittant les lieux avec son acolyte alors que l’incendie prenait une certaine ampleur sans rien entreprendre et sans aviser les pompiers alors qu’il ne pouvait pas ignorer que des dommages pourraient en résulter, manifestement afin de fuir et d’échapper à toute mise en cause, l’appelant avait manqué à son obligation d’agir, commettant l’infraction par omission qui lui était reprochée. En l’espèce, l’appelant n’a jamais admis avoir adhéré aux agissements de son comparse et aucun élément au dossier ne démontre une éventuelle volonté de sa part de s’associer au geste de R.________. Il n’est d’ailleurs pas mis en cause par celui-ci. R.________ a au contraire exposé que c’était lui seul qui avait mis le feu à un sachet en y jetant une cigarette (PV aud. 1, R. 6) et a confirmé qu’il était seul responsable de l’incendie et que l’appelant n’avait rien à voir avec ce qui s’était passé (PV aud. 1, R. 9). S’il est vrai que l’appelant n’a pas tenté d’éteindre le feu et s’est borné à filmer l’incendie, cela ne veut pas encore dire qu’il s’associait à l’acte. On ne peut en effet déduire de ce seul fait qu’il aurait adhéré aux agissements de son comparse ou qu’il l’aurait conforté dans son entreprise, étant relevé qu’il n’a commencé à filmer les faits qu’une fois que l’incendie s’était déclaré. Contrairement à ce qu’a retenu le premier juge, rien ne permet de retenir une intention commune et, partant, de contredire les déclarations constantes de H.________, selon lesquelles il n’a jamais voulu s’associer à son comparse, l’explication selon laquelle il aurait paniqué et filmé pour ne pas être mis en cause n’étant pas dénuée de crédibilité. Par ailleurs, la Cour de céans ne distingue pas ce qui aurait pu fonder un devoir de garant de l’appelant justifiant qu’il aurait été tenu d’avertir les pompiers. Ainsi, même si l’absence de réaction de H.________ peut apparaître critiquable, il y a lieu, en l’absence de tout élément au dossier permettant de retenir une volonté de sa part de s’associer à l’acte commis par son comparse, et en l’absence de tout devoir de garant, de le libérer du chef d’accusation d’incendie intentionnel avec dommage de peu d’importance. L’appel doit donc être admis sur ce point.</w:t>
      </w:r>
    </w:p>
    <w:p>
      <w:r>
        <w:rPr>
          <w:b/>
        </w:rPr>
        <w:t>E. 4</w:t>
      </w:r>
    </w:p>
    <w:p>
      <w:r>
        <w:t>L’appelant admet devoir être condamné pour sa consommation de produits stupéfiants. Compte tenu de la durée et de la fréquence de la consommation de H.________, du fait qu’il y a mis un terme, et de sa situation, une amende d’un montant de 200 fr., convertible, en cas de non-paiement fautif, en une peine privative de liberté de substitution de deux jours, sera prononcée pour sanctionner la contravention à la LStup commise.</w:t>
      </w:r>
    </w:p>
    <w:p>
      <w:r>
        <w:rPr>
          <w:b/>
        </w:rPr>
        <w:t>E. 5.1</w:t>
      </w:r>
    </w:p>
    <w:p>
      <w:r>
        <w:t>L’appelant conclut à ce que les frais de première instance soient mis par un cinquième seulement à sa charge, le solde étant laissé à la charge de l’Etat.</w:t>
      </w:r>
    </w:p>
    <w:p>
      <w:r>
        <w:rPr>
          <w:b/>
        </w:rPr>
        <w:t>E. 5.2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5.3</w:t>
      </w:r>
    </w:p>
    <w:p>
      <w:r>
        <w:t>En l’espèce, dès lors que la condamnation de H.________ pour contravention à la LStup est confirmée, mais qu’il est libéré du chef d’accusation d’incendie intentionnel, lequel a occasionné la majeure partie des frais d’enquête, seul un cinquième des frais de la procédure de première instance, arrêtés à 5'265 fr. 35, doit être mis à sa charge, le solde étant laissé à la charge de l’Etat.</w:t>
      </w:r>
    </w:p>
    <w:p>
      <w:r>
        <w:rPr>
          <w:b/>
        </w:rPr>
        <w:t>E. 6</w:t>
      </w:r>
    </w:p>
    <w:p>
      <w:r>
        <w:t>En définitive, l’appel doit être admis et le jugement entrepris réformé dans le sens des considérants qui précèdent. Me Martin Brechbühl, défenseur d’office de H.________, a produit une liste d’opérations faisant état de 465 minutes d’activité d’avocat au tarif horaire de 180 fr., y compris la durée de l’audience d’appel estimée à 60 minutes, ainsi que d’une vacation à 120 fr. et de débours forfaitaires à hauteur de 5 % des honoraires annoncés. Il n’y a pas lieu de s’écarter et de la durée ainsi alléguée, si ce n’est pour tenir compte de la durée effective des débats d’appel et retrancher 45 minutes à ce titre. Conformément à l’art. 3 bis RAJ (règlement sur l’assistance judiciaire en matière civile du 7 décembre 2010 ; BLV 211.02.3), applicable par renvoi de l’art. 26b TFIP (tarif des frais de procédure et indemnités en matière pénale du 28 septembre 2010 ; BLV 312.03.1), les débours seront pour leur part indemnisés sur une base forfaitaire à concurrence de 2 % du montant des honoraires admis. L’indemnité de défenseur d’office de Me Martin Brechbühl pour la procédure d’appel est par conséquent fixée à 1’513 fr. 40, correspondant à une activité nécessaire d’avocat de 7 h 00 au tarif horaire de 180 fr., par 1'260 fr., à des débours à concurrence de 25 fr. 20, à une vacation par 120 fr. et à la TVA au taux de 7,7 %, par 108 fr. 20. Vu l’issue de la cause, les frais de la procédure d’appel, par 2'903 fr. 40, constitués de l'émolument de jugement, par 1’390 fr. (art. 21 al. 1 et 2 TFIP), ainsi que de l’indemnité allouée au défenseur d’office, par 1’513 fr. 40, seront laissés à la charge de l’Etat, l’appelant obtenant gain de cause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