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203 vom 28. November 2022</w:t>
      </w:r>
    </w:p>
    <w:p>
      <w:r>
        <w:t>VD Tribunal cantonal, 2022-11-28, FR</w:t>
      </w:r>
    </w:p>
    <w:p>
      <w:r>
        <w:rPr>
          <w:b/>
        </w:rPr>
        <w:t xml:space="preserve">Quelle: </w:t>
      </w:r>
      <w:r>
        <w:t>https://mcp.opencaselaw.ch/entscheid/vd_findinfo_Jug___2023___203</w:t>
      </w:r>
    </w:p>
    <w:p>
      <w:r>
        <w:t>FR: VD_FINDINFO Jug / 2023 / 203 du 28 novembre 2022</w:t>
      </w:r>
    </w:p>
    <w:p>
      <w:r>
        <w:t>IT: VD_FINDINFO Jug / 2023 / 203 del 28 novembre 2022</w:t>
      </w:r>
    </w:p>
    <w:p>
      <w:pPr>
        <w:pStyle w:val="Heading2"/>
      </w:pPr>
      <w:r>
        <w:t>Regeste</w:t>
      </w:r>
    </w:p>
    <w:p>
      <w:r>
        <w:t>REJET DE LA DEMANDE, LOI FÉDÉRALE SUR LA PROTECTION DES ANIMAUX | 106 CP, 42 al. 1 CP, 42 al. 4 CP, 44 ch. 1 CP, 47 CP, 26 al. 2 LPA</w:t>
      </w:r>
    </w:p>
    <w:p>
      <w:pPr>
        <w:pStyle w:val="Heading2"/>
      </w:pPr>
      <w:r>
        <w:t>Erwägungen</w:t>
      </w:r>
    </w:p>
    <w:p>
      <w:r>
        <w:rPr>
          <w:b/>
        </w:rPr>
        <w:t>E. 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1.2</w:t>
      </w:r>
    </w:p>
    <w:p>
      <w:r>
        <w:t>; TF 6B_952/2019 du 11 décembre 2019 consid. 2.1).</w:t>
      </w:r>
    </w:p>
    <w:p>
      <w:r>
        <w:rPr>
          <w:b/>
        </w:rPr>
        <w:t>E. 2</w:t>
      </w:r>
    </w:p>
    <w:p>
      <w:r>
        <w:t>A titre de mesure d’instruction, l’appelant a requis une expertise concernant la pathologie du cheval et les soins qui lui ont été administrés, ainsi que l'audition de l'expert en audience. Il soutient que le refus de l'expertise viole son droit d'être entendu car, selon lui, l'expertise du Tierspital de Zurich n'avait pas été menée en contradictoire, tout comme d'ailleurs la dénonciation du vétérinaire cantonal ; or le juge s'est fondé sur ces deux avis. L’appelant soutient que pour en savoir plus, il fallait établir par une expertise neutre et contradictoire si les règles de l'art avaient été violées et si cette violation avait vraiment causé des souffrances à l'animal.</w:t>
      </w:r>
    </w:p>
    <w:p>
      <w:r>
        <w:rPr>
          <w:b/>
        </w:rPr>
        <w:t>E. 2.1</w:t>
      </w:r>
    </w:p>
    <w:p>
      <w:r>
        <w:t>; TF 6B_956/2016 du 19 juillet 2017 consid. 2.3.1). En tant qu'elle concrétise le droit d'être entendu (art. 29 al. 2 Cst.), cette exigence est également garantie par l'art. 32 al. 2 Cst. (ATF 144 II 427 consid. 3.1.2 ; ATF 131 I 476 précité ; ATF 129 I 151 consid. 3.1). Ce droit est absolu lorsque la déposition du témoin en cause est d'une importance décisive, notamment lorsqu'il est le seul témoin, ou que sa déposition constitue une preuve essentielle (ATF 131 I 476 précité et les références citées).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précité et les références citées ; TF 6B_1310/2016 précité ; TF 6B_961/2016 du 10 avril 2017 consid. 3.3.1).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 3 let. d CEDH a été respecté doit donc être examinée dans chaque cas en fonction de l'ensemble de la procédure et des circonstances concrètes (TF 6B_956/2016 précité et les références citées).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 correspondant à sa gravité (ATF 137 IV 33 consid. 9.2 ; TF 6B_542/2016 du 5 mai 2017 consid. 2.3 ; TF 6B_625/2015 du 28 octobre 2015 consid. 2.1).</w:t>
      </w:r>
    </w:p>
    <w:p>
      <w:r>
        <w:rPr>
          <w:b/>
        </w:rPr>
        <w:t>E. 2.1.1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2.1.2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2.2</w:t>
      </w:r>
    </w:p>
    <w:p>
      <w:r>
        <w:t>En l’espèce, force est de constater – comme l’a d’ailleurs fait le premier juge (cf. jgmt, p 16) – que le droit d’être entendu de l’appelant a été respecté tant par le vétérinaire cantonal que par le Ministère public. En effet, le vétérinaire cantonal lui a demandé l’entier du dossier médical de C.________ et des diverses informations, de sorte que l’appelant a eu l’occasion de s’exprimer avant que le vétérinaire cantonal ne dénonce son comportement aux autorités pénales. Quant à l’instruction menée par le Ministère public, l’appelant a également a eu l’occasion de s’expliquer à plusieurs reprises (PV aud. 1 du 1 er mars 2022 ; P. 4/3 du 21 octobre 2022) et a produit l’entier de son dossier le 16 janvier 2022 (P. 6). Dans ces circonstances son droit d’être entendu a été pleinement respecté. On constate en outre que le premier juge a fondé sa conviction sur les avis convergents du Tierspital de Zürich, du Vétérinaire cantonal et des vétérinaires X.________ et G.________, dont aucun élément ne permet de mettre en doute les compétences. Le dossier est donc complet sur cet aspect technique et rien ne justifie de mettre encore en œuvre une expertise. Les conditions de l’art. 389 al. 3 CPP n’étant pas réalisées, la mesure d’instruction requise doit donc être rejetée.</w:t>
      </w:r>
    </w:p>
    <w:p>
      <w:r>
        <w:rPr>
          <w:b/>
        </w:rPr>
        <w:t>E. 3</w:t>
      </w:r>
    </w:p>
    <w:p>
      <w:r>
        <w:t>Se prévalant ensuite d’une violation des art. 147 al. 1 CPP et 182 s CPP, l’appelant reproche au premier juge d’avoir apprécié les preuves de manière arbitraire, au motif que « les dénonciateurs » n'auraient pas été entendus par le tribunal, qui ne pouvait pas prendre leurs déclarations écrites « pour argent comptant ». Il soutient qu'il n'a plus été appelé « au chevet » de C.________ après le 19 juin 2020 et d'autres vétérinaires se sont occupés du cheval par la suite. Il en déduit qu’il ne pouvait plus rien faire et que ce n'est donc pas de sa faute si l’animal a dû être euthanasié en octobre 2020, de sorte qu’il devait être acquitté de toute infraction. Il tente finalement de se dédouaner en se reposant sur la volonté de la propriétaire du cheval, D.________.</w:t>
      </w:r>
    </w:p>
    <w:p>
      <w:r>
        <w:rPr>
          <w:b/>
        </w:rPr>
        <w:t>E. 3.1</w:t>
      </w:r>
    </w:p>
    <w:p>
      <w:r>
        <w:t>Le droit d'être entendu, garanti à l'art. 29 al. 2 Cst.,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 ATF 144 I 11 consid. 5.3 ; ATF 142 II 218 consid. 2.3). 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L’art 6 § 3 let. d CEDH garantit notamment à l’accusé le droit d’interroger ou de faire interroger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 ATF 131 I 476 consid. 2.2 ; TF 6B 386/2020 du 14 août 2020 consid. 3.1 ; TF 6B 383/2019 du 8 novembre 2019 consid. 8.1.2 non publié in ATF 145 IV 470). Sont considérées comme des déclarations de témoins toutes celles portées à la connaissance du tribunal et utilisées par lui, y compris lorsqu'elles ont été recueillies lors de l'enquête préliminaire (ATF 131 I 476 précité ; TF 6B_1310/2016 du 13 décembre 2017 consid.</w:t>
      </w:r>
    </w:p>
    <w:p>
      <w:r>
        <w:rPr>
          <w:b/>
        </w:rPr>
        <w:t>E. 3.2</w:t>
      </w:r>
    </w:p>
    <w:p>
      <w:r>
        <w:t>En l’espèce, on constate que les professionnels impliqués ont livré leurs avis par écrit (P. 4/1, 4/2, 4/3). L’appelant ne démontre pas en quoi il y aurait matière à les interroger plus avant. Il ne donne aucun indice qui pourrait fait apparaître un doute sur le contenu de « l’expertise » zurichoise, ni sur la dénonciation du Vétérinaire cantonal ou encore sur les positions des deux autres vétérinaires qui sont intervenus. On ne voit donc pas ce qui imposerait la « retenue » souhaitée par l'appelant. Par conséquent, le grief est vain et doit être rejeté. Quant à l’argument selon lequel la responsabilité de l’appelant ne serait pas engagée dans la mesure où il ne se serait plus occupé du cheval après juin 2020, il est fallacieux. En effet, il est établi que l’appelant a fait appel à un collègue, le Dr G.________ au mois de juin 2020. Ce dernier lui a livré ses conclusions, confirmant que le cheval souffrait du syndrome de Cushing et qu’il convenait d’assurer une prise en charge médicale urgente selon la médecine traditionnelle, pour le bien-être de l’animal. L’appelant n’a toutefois pas donné suite à ces conclusions et a poursuivi son propre protocole sans tenir compte de l’avis de son confrère. C'est là précisément ce qu'on lui reproche. Venir dire dès lors qu'il n'a rien fait, et que rien ne peut ainsi être retenu à sa charge confine à la témérité. C'est précisément son inaction, son absence de réaction, son déni de la pathologie existante, puis son indifférence après avoir reçu l'avis que l’appelant avait lui-même sollicité qui est la réalisation de l'infraction. Enfin, la tentative de l’appelant de se dédouaner en se retranchant derrière la volonté de la propriétaire du cheval n’est pas fondée. En effet, D.________ a été entendue en qualité de témoin par le Ministère public (PV aud. 2). Elle a expliqué que l’appelant lui avait indiqué que le syndrome de Cushing ne semblait pas être la maladie en lien avec les symptômes de son cheval et que le sujet n'avait donc pas été approfondi. Elle a ajouté que le bien-être de son animal était primordial et que s'il y avait eu une chance de le sauver, elle aurait tout mis en œuvre pour le faire mais qu'elle n'avait pas souhaité d'acharnement thérapeutique (jgmt, p. 14). L'appelant ne le conteste pas et c’est dès lors son déni qui est encore une fois mis en lumière. En outre, de l'avis unanime de tous les intervenants, le bien-être de l'animal n'a pas été préservé, ce à quoi la propriétaire avait cependant demandé à l'appelant de veiller. Par conséquent, la volonté de la propriétaire n'est d'aucun secours à l'appelant. Compte tenu de l’ensemble des éléments qui précèdent, la condamnation de l’appelant pour infraction à l'art. 26 LPA (loi fédérale sur la protection des animaux ; RS 455) doit être confirmée.</w:t>
      </w:r>
    </w:p>
    <w:p>
      <w:r>
        <w:rPr>
          <w:b/>
        </w:rPr>
        <w:t>E. 4</w:t>
      </w:r>
    </w:p>
    <w:p>
      <w:r>
        <w:t>L'appelant critique enfin la peine au motif qu’elle est aussi élevée que celle de l'ordonnance pénale du 13 septembre 2022 à laquelle il a fait opposition, qui retenait l'infraction intentionnelle. Il en déduit que la peine fixée correspond à une « reformatio in pejus ». Ensuite, il se réfère à de nombreux cas similaires au sien où une sanction plus légère avait été infligée sur la base de l'art. 26 LPA et se prévaut d’une violation de l’égalité de traitement.</w:t>
      </w:r>
    </w:p>
    <w:p>
      <w:r>
        <w:rPr>
          <w:b/>
        </w:rPr>
        <w:t>E. 4.1.1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w:t>
      </w:r>
    </w:p>
    <w:p>
      <w:r>
        <w:rPr>
          <w:b/>
        </w:rPr>
        <w:t>E. 4.1.2</w:t>
      </w:r>
    </w:p>
    <w:p>
      <w:r>
        <w:t>Aux termes de l’art. 26 LPA, est puni d’une peine privative de liberté de trois ans au plus ou d’une peine pécuniaire quiconque, intentionnellement : maltraite un animal, le néglige ou le surmène inutilement ou porte atteinte à sa dignité d’une autre manière (al. 1 let. a). Si l’auteur agit par négligence, il est puni d’une peine pécuniaire de 180 jours-amende au plus (al. 2).</w:t>
      </w:r>
    </w:p>
    <w:p>
      <w:r>
        <w:rPr>
          <w:b/>
        </w:rPr>
        <w:t>E. 4.2</w:t>
      </w:r>
    </w:p>
    <w:p>
      <w:r>
        <w:t>En l’espèce, l’appelant perd de vue que l'interdiction de la reformatio in pejus ne s'applique pas à l'opposition contre une ordonnance pénale, de sorte que le grief est hors de propos. En outre, l'art. 26 al. 2 LPA, qui réprime l'infraction par négligence, prévoit une peine pécuniaire de 180 jours-amende au plus. La peine prononcée, de 50 jours-amende, se trouve donc dans le tiers inférieur de l'éventail légal, ce que l’appelant semble méconnaître. Par ailleurs, la culpabilité de l'appelant est lourde. Son déni massif, après avoir lui-même sollicité un avis de tiers qu'il n'a pas daigné suivre, son obstination dans un diagnostic erroné, puis son inaction indifférente au sort du cheval dont il tente encore en appel de faire un motif exculpatoire sont autant d'éléments à charge, puisqu'il était facile de traiter correctement l'animal sur la base des informations disponibles. Enfin, la comparaison avec d'autres états de fait est toujours vaine, tant la peine doit être individualisée en fonction des circonstances du cas d'espèce et de la culpabilité de chaque auteur. La comparaison à laquelle se livre l'appelant est donc stérile. Il apparaît au contraire que la peine prononcée est adéquate et doit être confirmée. 5. En définitive, l’appel doit être rejeté et le jugement entrepris intégralement confirmé. Vu le sort de l’appel, il ne sera alloué aucune indemnité à A.________. Les frais de la procédure d'appel, par 1’610 fr., comprenant l’émolument de jugement et d’audience (art. 21 al. 1 et 2 TFIP), seront mis à la charge de A.________, qui succombe (art. 428 al. 1 CPP).</w:t>
      </w:r>
    </w:p>
    <w:p>
      <w:r>
        <w:rPr>
          <w:b/>
        </w:rPr>
        <w:t>E. 7</w:t>
      </w:r>
    </w:p>
    <w:p>
      <w:r>
        <w:t>février 2022 consid. 1.1). Dans le contexte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et les arrêts cités ; cf. aussi ATF 123 IV 49 consid. 2e). Les disparités en cette matière s'expliquent normalement par le principe de l'individualisation des peines, voulu par le législateur. Elles ne suffisent pas en elles-mêmes pour conclure à un abus du pouvoir d’appréciation (ATF 135 IV 191 consid. 3.1 ; TF 6B_793/2011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consid. 2 ; TF 6B_334/2009 du 20 juillet 2007 consid.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