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202 vom 6. Dezember 2022</w:t>
      </w:r>
    </w:p>
    <w:p>
      <w:r>
        <w:t>VD Tribunal cantonal, 2022-12-06, FR</w:t>
      </w:r>
    </w:p>
    <w:p>
      <w:r>
        <w:rPr>
          <w:b/>
        </w:rPr>
        <w:t xml:space="preserve">Quelle: </w:t>
      </w:r>
      <w:r>
        <w:t>https://mcp.opencaselaw.ch/entscheid/vd_findinfo_Jug___2023___202</w:t>
      </w:r>
    </w:p>
    <w:p>
      <w:r>
        <w:t>FR: VD_FINDINFO Jug / 2023 / 202 du 6 décembre 2022</w:t>
      </w:r>
    </w:p>
    <w:p>
      <w:r>
        <w:t>IT: VD_FINDINFO Jug / 2023 / 202 del 6 dicembre 2022</w:t>
      </w:r>
    </w:p>
    <w:p>
      <w:pPr>
        <w:pStyle w:val="Heading2"/>
      </w:pPr>
      <w:r>
        <w:t>Regeste</w:t>
      </w:r>
    </w:p>
    <w:p>
      <w:r>
        <w:t>PRÉSOMPTION D'INNOCENCE, VOL{DROIT PÉNAL}, CONSTATATION DES FAITS, FIXATION DE LA PEINE, RESPONSABILITÉ{DROIT PÉNAL}, EXPULSION{DROIT PÉNAL}, SURSIS PARTIEL À L'EXÉCUTION DE LA PEINE | 139 CP, 19 al. 2 CP, 43 al. 1 CP, 47 CP, 51 CP, 66a bis CP, 10 CPP (CH)</w:t>
      </w:r>
    </w:p>
    <w:p>
      <w:pPr>
        <w:pStyle w:val="Heading2"/>
      </w:pPr>
      <w:r>
        <w:t>Erwägungen</w:t>
      </w:r>
    </w:p>
    <w:p>
      <w:r>
        <w:rPr>
          <w:b/>
        </w:rPr>
        <w:t>E. 1</w:t>
      </w:r>
    </w:p>
    <w:p>
      <w:r>
        <w:t>Interjeté dans les formes et délais légaux (art. 399 CPP), par le prévenu ayant la qualité pour recourir (art. 382 al. 1 CPP) contre le jugement d’un tribunal de première instance qui a clos la procédure (art. 398 al. 1 CPP), l’appel de M.________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w:t>
      </w:r>
    </w:p>
    <w:p>
      <w:r>
        <w:rPr>
          <w:b/>
        </w:rPr>
        <w:t>E. 2.2.1</w:t>
      </w:r>
    </w:p>
    <w:p>
      <w:r>
        <w:t>M.________ a requis l a réaudition de son épouse, déjà entendue à deux reprises en cours d’enquête (PV aud. 6 et 9). Il entendait l’interroger sur leur lieu de vie avant la naissance de leur enfant, les premiers juges ayant retenu, au moment d’examiner la question de l’expulsion, que le couple avait vécu au Maroc, ce que l’appelant conteste. Il a également requis la réaudition de C.________, afin de prouver son innocence s’agissant du cas 10 de l’acte d’accusation.</w:t>
      </w:r>
    </w:p>
    <w:p>
      <w:r>
        <w:rPr>
          <w:b/>
        </w:rPr>
        <w:t>E. 2.2.2</w:t>
      </w:r>
    </w:p>
    <w:p>
      <w:r>
        <w:t>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 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6B_197/2020 du 7 mai 2020 consid. 1.1).</w:t>
      </w:r>
    </w:p>
    <w:p>
      <w:r>
        <w:rPr>
          <w:b/>
        </w:rPr>
        <w:t>E. 2.2.3</w:t>
      </w:r>
    </w:p>
    <w:p>
      <w:r>
        <w:t>M.________ n’a pas réitéré à l’audience d’appel les réquisitions de preuves présentées à l’appui de son appel. Ces requêtes ne répondaient quoi qu’il en soit pas aux conditions de l’art. 389 CPP. Il est vrai que l’épouse de l’appelant n’a pas été entendue sur la vie de couple mais sur le vol de la trottinette. Comme on le verra plus loin, elle a menti pour aider son mari. On ne peut donc ajouter aucune foi à ce qu’elle dirait concernant le lieu de vie du couple après leur mariage. Au surplus, savoir si le couple a vécu au Maroc avant la naissance de l’enfant n’est pas vraiment essentiel pour décider de l’expulsion. L’audition de ce témoin n’est donc pas nécessaire . Il en va de même de l’audition de C.________. En effet, le dossier comporte suffisamment d’éléments pour établir l’état de fait concernant le cas 10 de l’acte d’accusation, sans qu’il ne subsiste des zones d’ombre. C.________ a d’ailleurs déjà été entendu en cours d’enquête et a expliqué les circonstances dans lesquelles il serait entré en possession de la trottinette appartenant à J.________ (P. 90). Pour le surplus, les critiques émises par l'appelant s’agissant de ce cas seront examinées ci-dessous en relation avec les griefs qu'il formule dans son appel (cf. consid. 3.3 infra ).</w:t>
      </w:r>
    </w:p>
    <w:p>
      <w:r>
        <w:rPr>
          <w:b/>
        </w:rPr>
        <w:t>E. 3.1</w:t>
      </w:r>
    </w:p>
    <w:p>
      <w:r>
        <w:t>Invoquant la présomption d’innocence, l’appelant conteste sa condamnation pour vol. Il fait valoir que son épouse et lui ont toujours affirmé que la première avait déboursé la somme de 700 fr. pour acheter la trottinette au plaignant J.________, raison pour laquelle l’engin se trouvait dans la voiture avec le chargeur et le contrat d’achat initial, la nuit où il avait été dérobé. C.________ n’avait pas reconnu le prévenu comme son vendeur sur les planches photographiques qui lui avaient été soumises. Par ailleurs, à l’époque, l’appelant était détenu puis en séjour à la Fondation [...], donc il ne pouvait sortir que le week-end, de sorte qu’on voyait mal « pourquoi et comment il aurait revendu » l’engin.</w:t>
      </w:r>
    </w:p>
    <w:p>
      <w:r>
        <w:rPr>
          <w:b/>
        </w:rPr>
        <w:t>E. 3.2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et 14 al. 2 Pacte ONU II,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3.3</w:t>
      </w:r>
    </w:p>
    <w:p>
      <w:r>
        <w:t>L’appelant n’a été détenu que dès le 31 juillet 2021, et en séjour à la Fondation dès le 6 décembre suivant, de sorte qu’il a eu tout le temps pour vendre la trottinette en question, dans le but d’en garder le prix évidemment. Il n’est absolument pas établi que l’engin a été dérobé dans la voiture de l’épouse du prévenu avec le contrat d’achat par J.________ ou par une tierce personne envoyée par ce dernier, comme le prévenu le prétend. Le fait que C.________, en possession d’héroïne (P. 89), n’ait pas reconnu l’appelant (P. 90) n’est pas déterminant : peut-être qu’il y a eu une étape intermédiaire avec un tiers ou qu’il n’a tout simplement pas fait attention à son vendeur. La déclaration de vol faite à la police par l’épouse du prévenu (P. 120) la veille du jour où la trottinette a été retrouvée en mains de C.________ (P. 89) contient des éléments très douteux : elle indique que la trottinette, achetée pour 1'050 fr., a été dérobée dans sa voiture verrouillée et ce, « sans effraction », la porte côté conducteur étant complètement ouverte. Or, [...] que l’appelant ont par la suite déclaré que le coffre de la voiture avait été endommagé, et la prénommée a annoncé le sinistre à son assurance, qui l’a indemnisée à hauteur de 1'050 fr. (PV aud. 9 et 12 ; P. 123/1 et 128/0). Au vu des explications contradictoires et alambiquées de l’appelant et de son épouse, c’est bien la version du plaignant, constante et cohérente, qui doit être préférée. On ne distingue aucune violation de la présomption d’innocence. La Cour de céans retiendra donc les faits tels que décrits au chiffre 10 de l’acte d’accusation, repris dans le jugement attaqué (cf. consid. 2.10 supra dans la partie « En fait »), qui se fondent sur les propos tenus par le plaignant, de sorte que la condamnation de M.________ pour l’infraction de vol au sens de l’art. 139 CP – dont les éléments constitutifs sont remplis – doit être confirmée.</w:t>
      </w:r>
    </w:p>
    <w:p>
      <w:r>
        <w:rPr>
          <w:b/>
        </w:rPr>
        <w:t>E. 4.1</w:t>
      </w:r>
    </w:p>
    <w:p>
      <w:r>
        <w:t>L’appelant conteste la quotité de la peine. Il estime que le tribunal correctionnel n’a pas suffisamment tenu compte du fait que sa responsabilité est diminuée dans une mesure moyenne. Celle-ci a été mentionnée mais la culpabilité a néanmoins été qualifiée de « très lourde », sans nuance ou explication, en violation de la méthode préconisée par l’arrêt 6B_845/2016 du 29 juin 2017 consid. 2.1.1 (recte : 2.2.1).</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Le juge dispose d’un large pouvoir d’appréciation (TF 6B_780/2018 du 9 octobre 2018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w:t>
      </w:r>
    </w:p>
    <w:p>
      <w:r>
        <w:rPr>
          <w:b/>
        </w:rPr>
        <w:t>E. 4.2.2</w:t>
      </w:r>
    </w:p>
    <w:p>
      <w:r>
        <w:t>Aux termes de l’art. 19 al. 2 CP, le juge atténue la peine si, au moment d’agir, l’auteur ne possédait que partiellement la faculté d’apprécier le caractère illicite de son acte ou de se déterminer d’après cette appréciation. Selon la jurisprudence, une diminution de la responsabilité au sens de l’art. 19 al. 2 CP conduit à une diminution de la faute et non de la peine. La réduction de la peine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et 5.6).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w:t>
      </w:r>
    </w:p>
    <w:p>
      <w:r>
        <w:rPr>
          <w:b/>
        </w:rPr>
        <w:t>E. 4.2.3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w:t>
      </w:r>
    </w:p>
    <w:p>
      <w:r>
        <w:rPr>
          <w:b/>
        </w:rPr>
        <w:t>E. 4.3</w:t>
      </w:r>
    </w:p>
    <w:p>
      <w:r>
        <w:t>En sus de l’infraction d’injure sanctionnée par une peine pécuniaire et des diverses contraventions réprimées par une amende – non contestées –, M.________ s’est rendu coupable de 8 cas de conduite en état d’ébriété qualifiée (cas 1, 3 à 8 et 11 de l’acte d’accusation, le cas 9 étant le seul qui ne soit pas qualifié) entre juillet 2020 et mai 2022, de 6 cas de conduite en incapacité de conduire pour d’autres raisons (stupéfiants et/ou médicaments) (cas 3, 4, 5, 7, 8 et 11), de 7 cas de conduite sans autorisation (cas 4 à 9 et 11), de 5 cas de violation grave des règles de la circulation routière (cas 4, 6, 7, 9 et 11), de 2 cas de violence ou menace contre les autorités et les fonctionnaires (cas 3 et 7), de délit à la LStup (cas 3) et de vol (cas 10). Vu le nombre de cas et un antécédent pour infraction à la législation sur les étrangers sanctionné par une peine pécuniaire, une peine privative de liberté s’impose pour des motifs de prévention spéciale. Le genre de peine n’est du reste pas contesté. Selon l’expertise psychiatrique, l’appelant se réfugie dans la consommation d’alcool et de stupéfiants pour gérer ses émotions qu’il a de la peine à canaliser. S’il est difficile pour lui de se retenir de consommer dans la mesure où il est dépendant et fragile psychologiquement, il ne pouvait toutefois ignorer le danger qu’il créait pour lui et les autres en conduisant dans ces circonstances. Il a d’ailleurs eu deux accidents. Sa culpabilité en matière de circulation routière serait écrasante si sa responsabilité était entière. La diminution de responsabilité ne la rend que très lourde car on est proche de l’ actio libera in causa . L’appréciation des premiers juges est bien fondée. Il résulte en effet du dossier que le prévenu ne travaille plus depuis décembre 2019. Ses courses souvent tardives n’ayant pas pour but d’aller chercher sa fille, il n’avait donc pas de raison impérieuse de prendre le volant (ou le guidon s’agissant du cas où il circulait avec une trottinette électrique). La diminution de responsabilité paraît plus évidente pour les infractions à l’art. 285 CP. Par ailleurs, il y a lieu de tenir compte, à charge, du concours d’infractions et du fait que ces multiples cas constituent des récidives en cours d’enquête . Il y a en outre un antécédent en 2016 pour entrée et séjour illégaux. A décharge, on retiendra ses aveux aux débats de première instance, ainsi que ses problèmes de santé, qui l’ont entraîné dans une situation personnelle difficile, étant toutefois indiqué, concernant ce dernier point, que son épouse subvient à l’entretien de la famille de sorte que cette situation n’est pas désespérée. Il convient de fixer une peine d’ensemble en partant de l’infraction abstraitement la plus grave, soit le vol – passible d’une peine privative de liberté de 5 ans –, qui justifie à elle seule une peine privative de liberté de 3 mois. Les 8 conduites en état d’ébriété qualifiée et les 6 conduites en incapacité de conduire pour d’autres motifs valent chacune, par l’effet du concours, une augmentation d’1,5 mois ( sur la question du concours entre l’art. 91 al. 2 let. a LCR et l’art. 91 al. 2 let. b LCR, cf. ATF 147 IV 225), soit 21 mois au total . Les 7 conduites sans permis conduisent encore à une augmentation de 3,5 mois (7 x 0,5 mois). Les</w:t>
      </w:r>
    </w:p>
    <w:p>
      <w:r>
        <w:rPr>
          <w:b/>
        </w:rPr>
        <w:t>E. 5</w:t>
      </w:r>
    </w:p>
    <w:p>
      <w:r>
        <w:t>violations graves des règles de la circulation routière valent chacune un mois de plus. L’infraction de violence ou menace contre les autorités et les fonctionnaires commise deux fois vaut, par l’effet du concours, 3 mois supplémentaires et le délit à la LStup 0,5 mois de plus. On aboutit ainsi à une peine privative de liberté globale de 36 mois.</w:t>
      </w:r>
    </w:p>
    <w:p>
      <w:r>
        <w:rPr>
          <w:b/>
        </w:rPr>
        <w:t>E. 5.1</w:t>
      </w:r>
    </w:p>
    <w:p>
      <w:r>
        <w:t>; TF 6B_607/2018 du 10 octobre 2018 consid. 1.4.1 ; TF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(cf. ATF 139 I 145 consid. 2.4 ; ATF 139 I 31 consid. 2.3.3 ; ATF 135 II 377 consid. 4.3 ; TF 6B_242/2019 précité consid. 1.1 ; TF 6B_1314/2018 précité consid. 5.1 ; TF 6B_607/2018 précité consid. 1.4.1 ; TF 6B_371/2018 précité consid. 3.2). 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L'inscription d'un ressortissant d'un Etat tiers dans le Système d'information Schengen s'examine à l'aune des art. 20ss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1987/2006. Ce règlement, appliqué provisoirement par la Suisse dès le 28 décembre 2019, est entré en vigueur le 11 mai 2021 (RS 0.362.380.085). Aux termes de l'art. 24 al. 1 let. a du règlement (UE) 2018/1861, les Etats membres introduisent un signalement aux fins de non-admission et d'interdiction de séjour lorsqu'un 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 ces indications claires de son intention de commettre une telle infraction sur le territoire d'un Etat membre (b), ou lorsqu'un ressortissant de pays tiers a contourné ou tenté de contourner le droit national ou de l'Union relatif à l'entrée et au séjour sur le territoire des Etats membres (c). L'inscription ne peut être ordonnée, conformément au principe de proportionnalité consacré à l'art. 21 du règlement (UE) 2018/1861, que si l'opportunité, la pertinence et l'importance de l'affaire le justifient. Un signalement dans le SIS ne peut être effectué que sur la base d'une évaluation individuelle, en tenant compte du principe de proportionnalité. Dans le cadre de cette évaluation, il doit notamment être examiné si la personne concernée représente une menace pour la sécurité et l'ordre publics. Un signalement dans le SIS est toujours proportionné si un tel danger pour la sécurité et l'ordre publics existe. Si les exigences posées aux art. 21 et 24 al. 1 et 2 du règlement sont remplies, il existe une obligation d'inscription dans le Registre SIS (ATF 146 IV 172 consid. 3.2.2, JdT 2020 IV 312 concernant l'ancien règlement (CE) 1987/2006 du Parlement européen et du Conseil du 20 décembre 2006 relatif à l'établissement, le fonctionnement et l'utilisation du système d'information Schengen de deuxième génération).</w:t>
      </w:r>
    </w:p>
    <w:p>
      <w:r>
        <w:rPr>
          <w:b/>
        </w:rPr>
        <w:t>E. 5.2</w:t>
      </w:r>
    </w:p>
    <w:p>
      <w:r>
        <w:t>Aux termes de l'art. 51 première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(ATF 133 IV 150 consid. 5.1). Selon la jurisprudence, les mesures de substitution doivent être imputées sur la peine à l'instar de la détention subie avant jugement.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TF 6B_107/2022 du 1 er juin 2022 consid. 1.1; TF 6B_906/2019 du 7 mai 2020 consid. 1.1).</w:t>
      </w:r>
    </w:p>
    <w:p>
      <w:r>
        <w:rPr>
          <w:b/>
        </w:rPr>
        <w:t>E. 5.3</w:t>
      </w:r>
    </w:p>
    <w:p>
      <w:r>
        <w:t>Les premiers juges ont considéré que le placement à la Fondation [...] n’impliquait pas des restrictions aussi significatives de liberté qu’une incarcération. La Fondation a déposé un rapport le 7 avril 2022 (P. 94/2). Il en ressort que le prévenu, arrivé le 6 décembre 2021, a signé à son arrivée un avenant au contrat de séjour lui demandant de passer toutes les nuits et fins de semaine à la fondation. Ce cadre a perduré un mois mais avec des exceptions pour les week-ends de Noël et de Nouvel An. Après cela, le cadre s’est « progressivement ouvert ». Par ailleurs, le prévenu avait de nombreux rendez-vous médicaux de sorte qu’il avait de la peine à suivre le programme institutionnel et il était dispensé de revenir le vendredi ou le lundi s’il avait un rendez-vous médical. Il a fait preuve d’un bon engagement et de respect du cadre, sa participation étant toutefois conditionnée à ses absences. Il était difficile pour l’équipe de faire un vrai travail addictologique avec lui. La Fondation préconisait donc la levée de la mesure en faveur d’un traitement ambulatoire, tous ces déplacements étant « source de stress ». Le prévenu ne s’est pas alcoolisé durant son séjour mais moins d’un mois après sa sortie, il a récidivé avec une dernière conduite en état d’incapacité (ce qui lui a valu un retour en prison). Force est ainsi de constater que ce cadre ne représentait à peu près aucune contrainte pour le prévenu, dont les rendez-vous médicaux primaient le programme institutionnel. La déduction d’un tiers paraît ainsi suffisante.</w:t>
      </w:r>
    </w:p>
    <w:p>
      <w:r>
        <w:rPr>
          <w:b/>
        </w:rPr>
        <w:t>E. 6.1</w:t>
      </w:r>
    </w:p>
    <w:p>
      <w:r>
        <w:t>L’appelant estime qu’il aurait dû bénéficier d’un sursis partiel, les premiers juges ayant ordonné un traitement ambulatoire – qu’il souhaite poursuivre – et les experts ayant estimé que le risque de récidive était faible s’il parvenait à maintenir son abstinence à l’alcool et à la cocaïne. Il fait valoir qu’il a été irréprochable lorsqu’il séjournait à la Fondation [...]. Comme il fait l’objet d’un suivi ambulatoire et qu’il doit se soumettre à un contrôle de son abstinence, il y aurait lieu de poser un pronostic favorable.</w:t>
      </w:r>
    </w:p>
    <w:p>
      <w:r>
        <w:rPr>
          <w:b/>
        </w:rPr>
        <w:t>E. 6.2</w:t>
      </w:r>
    </w:p>
    <w:p>
      <w:r>
        <w:t>Selon l’art. 43 CP, le juge peut suspendre partiellement l’exécution d’une peine privative de liberté d’un an au moins et de trois ans au plus afin de tenir compte de façon appropriée de la faute de l’auteur (al. 1). La partie à exécuter ne peut excéder la moitié de la peine (al. 2).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 TF 6B_664/2007 du 18 janvier 2008 consid. 3.2.1 ;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6B_1285/2017 du 14 mai 2018 consid. 4.1 ; TF 6B_392/2016 du 10 novembre 2016 ; ATF 134 IV 1 consid. 5.2).</w:t>
      </w:r>
    </w:p>
    <w:p>
      <w:r>
        <w:rPr>
          <w:b/>
        </w:rPr>
        <w:t>E. 6.3</w:t>
      </w:r>
    </w:p>
    <w:p>
      <w:r>
        <w:t>L’appelant a un trouble de la personnalité. En raison de cette fragilité psychologique, il consomme diverses substances pour canaliser ses émotions. Il est diagnostiqué dépendant à l’alcool et aux benzodiazépines. Il a commis pas moins de 9 conduites en état d’incapacité (étant précisé qu’il a conduit, dans la plupart des cas, sous l’effet des stupéfiants et/ou des médicaments en sus de l’alcool) et, comme relevé ci-avant, il a récidivé moins d’un mois après la levée des mesures de substitution. Le pronostic est donc défavorable et c’est pourquoi un traitement ambulatoire se justifie. Celui-ci peut être suivi en prison et la détention constituera un cadre qui favorisera aussi l’abstinence.</w:t>
      </w:r>
    </w:p>
    <w:p>
      <w:r>
        <w:rPr>
          <w:b/>
        </w:rPr>
        <w:t>E. 7.1</w:t>
      </w:r>
    </w:p>
    <w:p>
      <w:r>
        <w:t>L’appelant conteste son expulsion de Suisse. Il soutient qu’il n’a conduit en état d’ébriété et alors que son permis lui avait été retiré qu’à respectivement 8 et 6 reprises et pas 10 comme l’a retenu le tribunal. Il invoque le fait qu’il a fondé une famille en Suisse et conteste avoir vécu au Maroc avec son épouse avant la naissance de leur fille. Il invoque aussi ses problèmes de cancer et un accès aux soins « compliqué » en cas de récidive tumorale au Maroc. Il observe qu’il ne fait l’objet d’aucune poursuite.</w:t>
      </w:r>
    </w:p>
    <w:p>
      <w:r>
        <w:rPr>
          <w:b/>
        </w:rPr>
        <w:t>E. 7.2</w:t>
      </w:r>
    </w:p>
    <w:p>
      <w:r>
        <w:t>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(cf. TF 6B_242/2019 du 18 mars 2019 consid. 1.1 ; TF 6B_1314/2018 du 29 janvier 2019 consid.</w:t>
      </w:r>
    </w:p>
    <w:p>
      <w:r>
        <w:rPr>
          <w:b/>
        </w:rPr>
        <w:t>E. 7.3</w:t>
      </w:r>
    </w:p>
    <w:p>
      <w:r>
        <w:t>En l’espèce, le nombre d’infractions commises par l’appelant est important (cf. consid. 4.3 supra ). S’agissant de sa situation personnelle, selon les faits retenus par le jugement, le prévenu a rencontré son épouse au Maroc. Celle-ci vivait déjà en Suisse et c’est le prévenu qui l’y a rejointe, alors qu’il était âgé de 25 ans. Il n’a travaillé en Suisse que quelque quatre ans avant qu’un cancer l’oblige à quitter son emploi. Son cancer est actuellement en rémission mais le prévenu est devenu alcoolique. C’est son épouse qui subvient à l’entretien du prévenu et de leur fille née en 2016. Le tribunal a estimé que le prévenu n’avait toujours pas pris conscience du danger qu’il constituait pour la sécurité routière, qu’il ne travaillait pas, qu’il avait passé la majeure partie de sa vie au Maroc et qu’il avait davantage de liens avec ce pays qu’avec la Suisse, où il n’avait « que » sa femme et sa fille. L’épouse et l’enfant constituent désormais la famille du prévenu, majeur. L’expulsion constitue certes une ingérence dans la vie familiale de l’intéressé. Mais l’intérêt à l’expulsion est important, vu les nombreuses infractions à la circulation routière commises, qui représentent un danger pour la sécurité publique. La détention de l’intéressé en cours d’enquête et son séjour en foyer ne l’ont pas dissuadé de récidiver. Le prévenu ne travaille pas, n’a pas de sérieuse perspective d’emploi à sa sortie de prison, ne contribue pas à l’entretien de sa fille, est dépendant à l’alcool et a des problèmes de santé. Le Maroc est capable de fournir des soins dans les cas de cancer (actuellement en rémission) (cf. P. 153/11 dont il résulte qu’en cas de récidive tumorale, l’accès aux soins pourrait être plus compliqué au Maroc qu’en Suisse, mais pas impossible) et d’alcoolisme. Par ailleurs, il ne faut pas non plus perdre de vue que l’expulsion n’a été prononcée que pour la durée minimale de 3 ans. En outre, les époux partagent la nationalité marocaine et se sont à tout le moins mariés au Maroc. L’épouse et l’enfant pourront aller lui rendre visite au Maroc, pays qui ne leur est pas étranger. Les liens pourront aussi être maintenus par les moyens de communication modernes. L’expulsion doit donc également être confirmée, de même que son inscription au registre du SIS, compte tenu du fait que le prénommé représente une menace pour la sécurité et l’ordre publics (ATF 146 IV 172 consid. 3.2.2, JdT 2020 IV 312).</w:t>
      </w:r>
    </w:p>
    <w:p>
      <w:r>
        <w:rPr>
          <w:b/>
        </w:rPr>
        <w:t>E. 8</w:t>
      </w:r>
    </w:p>
    <w:p>
      <w:r>
        <w:t>Conformément à l’art. 51 CP, la détention subie par M.________ depuis le jugement de première instance sera déduite de la peine privative de liberté prononcée. Le maintien en détention pour des motifs de sûreté de l’appelant sera en outre ordonné pour garantir l’exécution de la peine et de la mesure d’expulsion prononcées.</w:t>
      </w:r>
    </w:p>
    <w:p>
      <w:r>
        <w:rPr>
          <w:b/>
        </w:rPr>
        <w:t>E. 9</w:t>
      </w:r>
    </w:p>
    <w:p>
      <w:r>
        <w:t>En conclusion, l’appel doit être rejeté et le jugement attaqué intégralement confirmé. La condamnation de M.________, qui succombe dans ses conclusions, devant être confirmée, il n’y a pas lieu à allocation de dépens. Vu l'issue de la cause, les frais de la procédure d'appel, par 3'260 fr. (art. 21 al. 1 et 2 TFIP [tarif des frais de procédure et indemnités en matière pénale du 28 septembre 2010 ; BLV 312.03.1), seront mis à la charge de M.________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