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179 vom 19. Mai 2021</w:t>
      </w:r>
    </w:p>
    <w:p>
      <w:r>
        <w:t>VD Tribunal cantonal, 2021-05-19, FR</w:t>
      </w:r>
    </w:p>
    <w:p>
      <w:r>
        <w:rPr>
          <w:b/>
        </w:rPr>
        <w:t xml:space="preserve">Quelle: </w:t>
      </w:r>
      <w:r>
        <w:t>https://mcp.opencaselaw.ch/entscheid/vd_findinfo_Jug___2023___179</w:t>
      </w:r>
    </w:p>
    <w:p>
      <w:r>
        <w:t>FR: VD_FINDINFO Jug / 2023 / 179 du 19 mai 2021</w:t>
      </w:r>
    </w:p>
    <w:p>
      <w:r>
        <w:t>IT: VD_FINDINFO Jug / 2023 / 179 del 19 maggio 2021</w:t>
      </w:r>
    </w:p>
    <w:p>
      <w:pPr>
        <w:pStyle w:val="Heading2"/>
      </w:pPr>
      <w:r>
        <w:t>Regeste</w:t>
      </w:r>
    </w:p>
    <w:p>
      <w:r>
        <w:t>RETOUR, FRAIS JUDICIAIRES, DÉPENS, TRIBUNAL FÉDÉRAL | 2 al. 1 RAJ, 3bis al. 1 RAJ, 21 TFIP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2</w:t>
      </w:r>
    </w:p>
    <w:p>
      <w:r>
        <w:t>Dans son arrêt du 6 mars 2023, le Tribunal fédéral a réformé le jugement de la Cour d’appel pénale du 20 décembre 2021 en ce sens qu’il était renoncé à l’expulsion du territoire suisse de X.________ et la cause renvoyée à l’autorité cantonale pour nouvelle décision concernant les frais et dépens. Par conséquent, l’appel formé par le Ministère public doit être rejeté et le jugement du Tribunal correctionnel de l’arrondissement de Lausanne du 19 mai 2021 confirmé. Vu l’issue de la cause, les frais de la procédure d’appel antérieure à l’arrêt du Tribunal fédéral, soit l’émolument de jugement et d’audience, par 2'790 fr. (19 pages et 1 h 30 d’audience ; art. 21 al. 1 et 2 TFIP), et l’indemnité allouée au défenseur d’office, par 2'815 fr. 20, soit 5'605 fr. 20 au total, seront laissés à la charge de l’Etat (art. 428 al. 1 CPP).</w:t>
      </w:r>
    </w:p>
    <w:p>
      <w:r>
        <w:rPr>
          <w:b/>
        </w:rPr>
        <w:t>E. 3</w:t>
      </w:r>
    </w:p>
    <w:p>
      <w:r>
        <w:t>Les frais de la procédure d’appel postérieure à l’arrêt du Tribunal fédéral, par 660 fr. (art. 21 al. 1 TFIP), seront également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