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 vom 17. Mai 2022</w:t>
      </w:r>
    </w:p>
    <w:p>
      <w:r>
        <w:t>VD Tribunal cantonal, 2022-05-17, FR</w:t>
      </w:r>
    </w:p>
    <w:p>
      <w:r>
        <w:rPr>
          <w:b/>
        </w:rPr>
        <w:t xml:space="preserve">Quelle: </w:t>
      </w:r>
      <w:r>
        <w:t>https://mcp.opencaselaw.ch/entscheid/vd_findinfo_Jug___2023___17</w:t>
      </w:r>
    </w:p>
    <w:p>
      <w:r>
        <w:t>FR: VD_FINDINFO Jug / 2023 / 17 du 17 mai 2022</w:t>
      </w:r>
    </w:p>
    <w:p>
      <w:r>
        <w:t>IT: VD_FINDINFO Jug / 2023 / 17 del 17 maggio 2022</w:t>
      </w:r>
    </w:p>
    <w:p>
      <w:pPr>
        <w:pStyle w:val="Heading2"/>
      </w:pPr>
      <w:r>
        <w:t>Regeste</w:t>
      </w:r>
    </w:p>
    <w:p>
      <w:r>
        <w:t>ARME{OBJET}, ERREUR SUR LES FAITS{DROIT PÉNAL}, PROCÉDURE ÉCRITE, PRINCIPE DE L'ACCUSATION, CONSTATATION DES FAITS | 10 CP, 13 al. 1 CP, 33 al. 1 let. a LArm, 4 al. 1 let. e LArm, 9 CPP (CH)</w:t>
      </w:r>
    </w:p>
    <w:p>
      <w:pPr>
        <w:pStyle w:val="Heading2"/>
      </w:pPr>
      <w:r>
        <w:t>Erwägungen</w:t>
      </w:r>
    </w:p>
    <w:p>
      <w:r>
        <w:rPr>
          <w:b/>
        </w:rPr>
        <w:t>E. 1</w:t>
      </w:r>
    </w:p>
    <w:p>
      <w:r>
        <w:t>X.________, marié, de nationalité suisse, est né le [...] 1952. Avant sa retraite, il travaillait comme [...]. Il perçoit des rentes AVS et LPP à hauteur totale de 4'814 fr. par mois. Son épouse ne travaille pas. Il est propriétaire d’un immeuble dont la valeur fiscale est de 4'280'100 fr. et qui lui rapporte des revenus d’environ 7'000 fr. par mois. Ses dettes hypothécaires s’élèvent à 3'340'050 fr. et sa fortune à 2'221'474 fr. (sans immeubles). En outre, il est le débiteur d’un prêt Lombard de 70'000 francs. Il dit qu’il ignore quelles sont ses charges mensuelles dans la mesure où c’est son épouse qui s’en occupe. Son casier judiciaire suisse ne comporte aucune inscription.</w:t>
      </w:r>
    </w:p>
    <w:p>
      <w:r>
        <w:rPr>
          <w:b/>
        </w:rPr>
        <w:t>E. 1.1</w:t>
      </w:r>
    </w:p>
    <w:p>
      <w:r>
        <w:t>Interjeté dans les formes et délais légaux (art. 399 CPP),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3.1</w:t>
      </w:r>
    </w:p>
    <w:p>
      <w:r>
        <w:t>L’appelant invoque une constatation inexacte des faits, respectivement une violation du principe in dubio pro reo consacré à l’art. 10 CPP. Il fait valoir que l’objet litigieux n’est pas une arme : ses caractéristiques techniques ne sont pas connues dans le sens où le descriptif du site internet mentionne seulement qu’il s’agit d’un « pistolet paralysant à baguette électrique avec lampe de poche à lumière forte Tige paralysante rechargeable haute tension 12 millions de volts », la photographie du site internet ne montre pas un pistolet, mais plutôt un appareil à électrochocs classique, tous les appareils à électrochocs ne sont pas considérés comme des armes et on pourrait même se demander si l’objet n’est pas en réalité une lampe de poche vu le prix qu’il a payé (12 fr.). Il soutient que le rapport du Bureau des armes ne contient pas le descriptif de l’objet, ses caractéristiques, sa photographie et son numéro de référence, et que l’on ne sait pas si l’appareil est réellement alimenté, s’il constitue une imitation sans alimentation, comment il est alimenté (pile ou batterie), quelle est sa tension (en volts), quel est son ampérage et s’il est fonctionnel. L’appelant estime que l’objet litigieux devrait être considéré comme un appareil à électrochocs à faible tension qui n’entre pas dans la définition de l’art. 4 al. 1 let. e LArm.</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Par armes, on entend notamment les appareils produisant des électrochocs susceptibles d’inhiber la force de résistance de l’être humain ou de porter durablement atteinte à sa santé (art. 4 al. 1 let. e LArm). Les appareils produisant des électrochocs sont considérés comme des armes s’ils ne sont pas soumis aux dispositions de l’ordonnance du 9 avril 1997 sur les matériels électriques à basse tension. En cas de doute, l’Office central des armes (OCA) prend la décision (art. 2 OArm [ordonnance sur les armes du 2 juillet 2008 ; RS 514.541]).</w:t>
      </w:r>
    </w:p>
    <w:p>
      <w:r>
        <w:rPr>
          <w:b/>
        </w:rPr>
        <w:t>E. 3.3</w:t>
      </w:r>
    </w:p>
    <w:p>
      <w:r>
        <w:t>Tout d’abord, dans son rapport de dénonciation du 11 août 2021, le Bureau des armes de la Police cantonale vaudoise a indiqué que l’arme qu’il avait saisie était un appareil à électrochocs au sens des art. 4 al. 1 let. e LArm et 2 OArm (P. 4). Il n’existe aucune raison de douter de l’appréciation des policiers spécialistes. Ensuite, une simple lecture du descriptif de l’objet permet également de s’en convaincre, puisque la description – complète – de l’article mentionne qu’il s’agit d’un « Stun Gun », soit d’un « outil d’autodéfense en plein air pour femmes Pistolet paralysant à baguette électrique avec lampe de poche à lumière forte Tige paralysante rechargeable haute tension 12 millions de volts » (P. 10/3 et 10/4). L’image de l’objet montre par ailleurs clairement qu’il s’agit d’un appareil à électrochocs et le fait que celui-ci fasse aussi usage de lampe de poche n’y change rien tant il est manifeste que telle n'est pas sa première fonction. Vu ces éléments, il ne fait aucun doute que l’objet saisi est une arme au sens de l’art.</w:t>
      </w:r>
    </w:p>
    <w:p>
      <w:r>
        <w:rPr>
          <w:b/>
        </w:rPr>
        <w:t>E. 4</w:t>
      </w:r>
    </w:p>
    <w:p>
      <w:r>
        <w:t>al. 1 let. e LArm.</w:t>
      </w:r>
    </w:p>
    <w:p>
      <w:r>
        <w:rPr>
          <w:b/>
        </w:rPr>
        <w:t>E. 4.1</w:t>
      </w:r>
    </w:p>
    <w:p>
      <w:r>
        <w:t>L’appelant invoque une violation de la maxime d’accusation. Il soutient que la description des faits est lacunaire, soit que l’acte d’accusation ne contenait pas toutes les caractéristiques techniques permettant de retenir que l’appareil constituait une arme au sens de la LArm, notamment sa tension électrique. Il estime qu’il a été empêché de comprendre ce qui lui était précisément reproché s’agissant de la qualification de l’objet litigieux, de sorte qu’il doit être acquitté déjà pour ce seul motif.</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ibidem).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art. 356 al. 1 CPP). Selon l'art. 325 al. 1 CPP, l'acte d'accusation désigne :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ibidem). Des imprécisions relatives au lieu ou à la date sont sans portée, dans la mesure où le prévenu ne peut pas avoir de doute sur le comportement qui lui est reproché (TF 6B_1498/2020 précité, ibidem).</w:t>
      </w:r>
    </w:p>
    <w:p>
      <w:r>
        <w:rPr>
          <w:b/>
        </w:rPr>
        <w:t>E. 4.3</w:t>
      </w:r>
    </w:p>
    <w:p>
      <w:r>
        <w:t>C’est en vain que l’appelant essaie de plaider que l’ordonnance pénale n’est pas suffisamment précise. Les faits retenus lui permettaient parfaitement de comprendre ce qui lui était reproché, à savoir d’avoir commandé et acheté une arme sur internet, dont l’importation sur le territoire suisse était interdite sans autorisation. L’absence d’indication des caractéristiques techniques de l’objet, notamment de sa tension électrique, n’a nullement entravé l’appelant dans sa défense. Comme on vient de le voir, la qualification de l’objet saisi était une question de droit et non de fait. Les moyens déduits de la violation du principe d’accusation sont par conséquent infondés.</w:t>
      </w:r>
    </w:p>
    <w:p>
      <w:r>
        <w:rPr>
          <w:b/>
        </w:rPr>
        <w:t>E. 5.1</w:t>
      </w:r>
    </w:p>
    <w:p>
      <w:r>
        <w:t>L’appelant fait valoir qu’il ne savait pas que l’appareil litigieux était une arme. Il explique qu’il est « tombé par hasard » sur l’annonce de l’objet, qu’il n’a vu aucune indication technique sur la puissance de l’appareil, que le voltage indiqué était fantaisiste, que le prix était modique et qu’il n’était fait aucune mention du caractère dangereux ou illégal de l’appareil, de sorte qu’il pensait faire l’acquisition d’un gadget, comme il l’avait fait régulièrement dans le passé. Il soutient qu’il n’a pas accepté l’éventualité que cet appareil soit considéré comme une arme soumise à un permis de port d’arme (dol éventuel) et que le fait qu’il ne se soit pas renseigné au préalable constitue tout au plus une négligence. L’appelant fait valoir sa bonne foi, son éventuelle naïveté ne devant pas être transformée en intention. L’appelant se prévaut également d’une erreur sur les faits au sens de l’art. 13 CP. Il pensait véritablement qu’en commandant un gadget à 12 fr., il faisait l’acquisition d’un banal appareil électronique dont les composantes n’en faisaient pas une arme. Il invoque une affaire similaire, selon lui, rendue par la Cour d’appel pénale du Tribunal cantonal neuchâtelois dans laquelle il a été jugé que le prévenu n’avait pas agi avec la conscience et la volonté d’importer en Suisse un couteau à ouverture automatique, pas même sous l’angle du dol éventuel (CPEN.2019.49 du 12 février 2019).</w:t>
      </w:r>
    </w:p>
    <w:p>
      <w:r>
        <w:rPr>
          <w:b/>
        </w:rPr>
        <w:t>E. 5.2.1</w:t>
      </w:r>
    </w:p>
    <w:p>
      <w:r>
        <w:t>Aux termes de l'art. 13 al. 1 CP, quiconque agit sous l’influence d’une appréciation erronée des faits est jugé d’après cette appréciation si elle lui est favorable.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 appréciation erronée, si celle-ci lui est favorable (ATF 129 IV 238 consid. 3.1, JdT 2005 IV 87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5.2.2</w:t>
      </w:r>
    </w:p>
    <w:p>
      <w:r>
        <w:t>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l’art. 33 al. 2 LArm, si l’auteur agit par négligence, la peine est une amende. Dans les cas de peu de gravité, le juge peut exempter l’auteur de toute peine.</w:t>
      </w:r>
    </w:p>
    <w:p>
      <w:r>
        <w:rPr>
          <w:b/>
        </w:rPr>
        <w:t>E. 5.3</w:t>
      </w:r>
    </w:p>
    <w:p>
      <w:r>
        <w:t>Comme exposé ci-dessus, vu le descriptif et la photographie de l’objet acheté, l’appelant n’a pas pu se tromper sur sa fonction et sa dangerosité. Par ailleurs, en commandant l’appareil à électrochocs sur un site internet étranger non spécialisé, le recourant devait – comme toute personne consciencieuse placée dans cette situation – se douter que l'acquisition d'une telle arme étaient réglementée et se renseigner avant de se la procurer, et cela d’autant plus que l’appelant détenait déjà d’autres armes (jgt, p. 3) et savait donc que le port de celles-ci était soumis à autorisation. L’arrêt du Tribunal cantonal neuchâtelois que l’appelant cite ne lui est d’aucun secours, puisqu’il y est question d’un couteau que ni le descriptif ni la photographie figurant sur le site internet du vendeur ne précisait qu’il s’ouvrait avec un dispositif automatique. Or c’est exactement l’inverse en ce qui concerne l’appelant : tant le descriptif que la photographie montraient clairement qu’il s’agissait d’un appareil à électrochocs susceptible d’inhiber la force de résistance de l’être humain ou de porter durablement atteinte à la santé. L’appelant savait qu’il achetait une arme et il a acquis celle-ci avec conscience et volonté. L’infraction est par conséquent réalisée intentionnellement. La condamnation de l’appelant pour délit à la LArm doit par conséquent être confirmée.</w:t>
      </w:r>
    </w:p>
    <w:p>
      <w:r>
        <w:rPr>
          <w:b/>
        </w:rPr>
        <w:t>E. 6</w:t>
      </w:r>
    </w:p>
    <w:p>
      <w:r>
        <w:t>Il résulte de ce qui précède que l’appel doit être rejeté et le jugement entrepris confirmé. Les frais d’appel, par 1'100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