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165 vom 4. Januar 2023</w:t>
      </w:r>
    </w:p>
    <w:p>
      <w:r>
        <w:t>VD Tribunal cantonal, 2023-01-04, FR</w:t>
      </w:r>
    </w:p>
    <w:p>
      <w:r>
        <w:rPr>
          <w:b/>
        </w:rPr>
        <w:t xml:space="preserve">Quelle: </w:t>
      </w:r>
      <w:r>
        <w:t>https://mcp.opencaselaw.ch/entscheid/vd_findinfo_Jug___2023___165</w:t>
      </w:r>
    </w:p>
    <w:p>
      <w:r>
        <w:t>FR: VD_FINDINFO Jug / 2023 / 165 du 4 janvier 2023</w:t>
      </w:r>
    </w:p>
    <w:p>
      <w:r>
        <w:t>IT: VD_FINDINFO Jug / 2023 / 165 del 4 gennaio 2023</w:t>
      </w:r>
    </w:p>
    <w:p>
      <w:pPr>
        <w:pStyle w:val="Heading2"/>
      </w:pPr>
      <w:r>
        <w:t>Regeste</w:t>
      </w:r>
    </w:p>
    <w:p>
      <w:r>
        <w:t>RECEL, DISPOSITIONS PÉNALES DE LA LSTUP, COMMERCE DE STUPÉFIANTS, SÉJOUR ILLÉGAL | 160 ch. 1 CP, 66a CP, 19 al. 1 LStup, 19 ch. 2 let. a LStup, 19 ch. 2 let. b LStup, 19a ch. 1 LStup, 115 al. 1 let. b LEI</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N.________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w:t>
      </w:r>
    </w:p>
    <w:p>
      <w:r>
        <w:rPr>
          <w:b/>
        </w:rPr>
        <w:t>E. 3</w:t>
      </w:r>
    </w:p>
    <w:p>
      <w:r>
        <w:t>A titre de mesures d’instruction, l’appelant a requis, aux débats d’appel, l’inspection de l’appartement n° 44 sis à la route [...] à [...] pour démontrer qu’il ne disposait pas d’un espace personnel, encore moins d’une table de nuit, dans l’appartement en question, ce qui rendraient douteuses les constatations policières l’incriminant (P. 47), en particulier s’agissant des téléphones et de la carte SIM retrouvés dans le tiroir de la table de nuit à côté de son lit. Il a également requis l’audition de O.________.</w:t>
      </w:r>
    </w:p>
    <w:p>
      <w:r>
        <w:rPr>
          <w:b/>
        </w:rPr>
        <w:t>E. 3.1</w:t>
      </w:r>
    </w:p>
    <w:p>
      <w:r>
        <w:t>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Ce refus d'instruire ne viole le droit d'être entendu des parties et l'art. 389 al. 3 CPP que si l'appréciation anticipée effectuée est entachée d'arbitraire (ATF 144 II 427 consid. 3.1.3 ; ATF 141 I 60 consid. 3.3, JdT 2015 I 115).</w:t>
      </w:r>
    </w:p>
    <w:p>
      <w:r>
        <w:rPr>
          <w:b/>
        </w:rPr>
        <w:t>E. 3.2</w:t>
      </w:r>
    </w:p>
    <w:p>
      <w:r>
        <w:t>En l’espèce, l’inspection de l’appartement que l’appelant a occupé à la route [...] à [...] n’est d’aucune utilité. En effet, les constats dont l’appelant remet en doute la réalité ont été faits à la suite d’une perquisition réalisée le 29 mars 2022. Plus d’une année s’étant écoulée depuis, l’aménagement de l’appartement a pu changer, de même que ses occupants. La mesure d’instruction requise n’est dès lors pas de nature à modifier le résultat de celles déjà administrées à l’époque. S’agissant de l’audition de O.________, ce dernier a déjà été interrogé à quatre reprises (PV aud. 3, 4, 5 et 6). Ses déclarations sont claires et on ne voit pas ce qu’il pourrait dire de plus aujourd’hui, soit plus d’une année après les faits. Il n’y a donc pas lieu de procéder à une nouvelle audition de O.________. Au vu de ce qui précède, les conditions de l’art. 389 al. 2 et 3 CPP n’étant pas réalisées, les mesures d’instruction complémentaires sollicitées doivent être rejetées.</w:t>
      </w:r>
    </w:p>
    <w:p>
      <w:r>
        <w:rPr>
          <w:b/>
        </w:rPr>
        <w:t>E. 4</w:t>
      </w:r>
    </w:p>
    <w:p>
      <w:r>
        <w:t>Contestant sa condamnation pour séjour illégal, l'appelant relève que les éléments du dossier ne permettent pas d'établir qu'il aurait séjourné plus de 90 jours de suite en Suisse, qu'il s'est rendu trois fois en Italie entre le mois de juin 2021 et la date de son arrestation en mars 2022 et qu'il avait intérêt à retourner en Italie régulièrement pour s'occuper de sa maison et percevoir les aides étatiques.</w:t>
      </w:r>
    </w:p>
    <w:p>
      <w:r>
        <w:rPr>
          <w:b/>
        </w:rPr>
        <w:t>E. 4.1.1</w:t>
      </w:r>
    </w:p>
    <w:p>
      <w:r>
        <w:t>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w:t>
      </w:r>
    </w:p>
    <w:p>
      <w:r>
        <w:rPr>
          <w:b/>
        </w:rPr>
        <w:t>E. 4.1.2</w:t>
      </w:r>
    </w:p>
    <w:p>
      <w:r>
        <w:t>Aux termes de l'art. 115 al. 1 let. b de la loi fédérale sur les étrangers et l’intégration (LEI ; RS 142.20), est puni d'une peine privative de liberté d'un an au plus ou d'une peine pécuniaire quiconque séjourne illégalement en Suisse, notamment après l'expiration de la durée du séjour non soumis à autorisation ou du séjour autorisé. Cette disposition consacre un délit continu (ATF 145 IV 449 consid. 1.1). Le fait de rester sur le territoire suisse après l'expiration de la durée du séjour non soumis à autorisation ou du séjour autorisé constitue une violation de l'art. 115 al. 1 let. b LEI, pour laquelle une durée de séjour d'au moins 24 heures est nécessaire, quelques heures ne suffisant pas à rendre punissable la présence non autorisée en Suisse (Sauthier, in Code annoté de droit des migrations II – LEtr, 2017, art. 115 n. 14). Selon l'art. 10 al. 1 LEI, tout étranger peut séjourner en Suisse sans exercer d'activité lucrative pendant trois mois sans autorisation, sauf si la durée fixée dans le visa est plus courte. L'ordonnance relative à l'admission, au séjour et à l'exercice d'une activité lucrative du 24 octobre 2007 (OASA ;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LEI doivent être remplies (art. 9 al. 2 OASA). Ainsi, pour entrer en Suisse, tout étranger doit avoir une pièce de légitimation reconnue pour le passage de la frontière et être muni d'un visa si ce dernier est requis (al. 1 let. a), disposer des moyens financiers nécessaires à son séjour (al. 1 let. b), ne représenter aucune menace pour la sécurité et l'ordre publics ni pour les relations internationales de la Suisse (al. 1 let. c), ne pas faire l'objet d'une mesure d'éloignement ou d'une expulsion au sens des art. 66a ou 66abis CP et, s'il prévoit un séjour temporaire, apporter la garantie qu'il quittera la Suisse (al. 2).</w:t>
      </w:r>
    </w:p>
    <w:p>
      <w:r>
        <w:rPr>
          <w:b/>
        </w:rPr>
        <w:t>E. 4.2</w:t>
      </w:r>
    </w:p>
    <w:p>
      <w:r>
        <w:t>En l’espèce, il résulte du rapport de police du 20 juin 2022 que les analyses du contrôle téléphonique direct et du contrôle téléphonique rétroactif sur le raccordement +4177[...] de l'appelant ont établi que ce dernier n'avait pas quitté la Suisse entre le 28 juin 2021 et le 24 janvier 2022. L'abonnement de ce raccordement est au nom de l'appelant et a été créé le 28 juin 2021. De plus, la localisation et les communications confirment que N.________ a été l'utilisateur de ce raccordement (cf. P. 47, p. 10). La version de ce dernier selon laquelle ses colocataires auraient fait un usage intempestif de ses cartes SIM n'est pas crédible et notamment contredite par ses déclarations lors de son audition du 23 mai 2022. En effet, interrogé sur des conversations interceptées entre son raccordement +4177[...] et d'autres usagers les 11, 12, 17 novembre 2021 et 10 décembre 2021, l’appelant ne conteste jamais être l'auteur desdites conversations (cf. PV aud. 7). Par ailleurs, le permis de séjour de l'intéressé a expiré en mars 2020. Or, le 14 février 2021, il est entré en Suisse sans visa, alors que son permis de séjour italien avait expiré (cf. P. 18). De plus, ses allégations selon lesquelles il devait se rendre régulièrement en Italie pour bénéficier d'aides sociales sont peu plausibles, dès lors qu'il est très invraisemblable qu'il ait pu toucher de telles aides sans être au bénéficie d'un permis de séjour valable. Au regard de l'ensemble de ces éléments, la condamnation de l'appelant pour séjour illégal doit être confirmée.</w:t>
      </w:r>
    </w:p>
    <w:p>
      <w:r>
        <w:rPr>
          <w:b/>
        </w:rPr>
        <w:t>E. 5</w:t>
      </w:r>
    </w:p>
    <w:p>
      <w:r>
        <w:t>L'appelant conteste l'ampleur du trafic de stupéfiants retenu à son encontre. Il reconnaît avoir participé à la vente de 10 fingers de cocaïne à deux reprises. Il relève qu'il n'est pas possible de déterminer qui étaient les utilisateurs des téléphones et l'auteur des messages incriminants, aux motifs qu'il mettait son téléphone à disposition de ses amis, qu'il partageait son appartement avec plusieurs personnes qui utilisaient ses numéros et téléphones et que lui-même ne sait pas écrire et lit avec peine. Aux débats d’appel, il a relevé des différences dans les rapports de police s’agissant des numéros IMEI des téléphones et raccordements utilisés dans le trafic de stupéfiants, ce qui démontrerait – selon lui – qu’il aurait été faussement impliqué dans ledit trafic. L’appelant considère également qu'il faut appliquer le taux de 38.9 %, soit le taux le plus favorable, pour calculer l'ensemble des quantités de stupéfiants qui lui sont imputées.</w:t>
      </w:r>
    </w:p>
    <w:p>
      <w:r>
        <w:rPr>
          <w:b/>
        </w:rPr>
        <w:t>E. 5.1.1</w:t>
      </w:r>
    </w:p>
    <w:p>
      <w:r>
        <w:t>L'art. 19 al. 1 LStup punit d'une peine privative de liberté de trois ans au plus ou d'une peine pécuniaire celui qui, sans droit, cultive, fabrique ou produit de toute autre manière des stupéfiants (let. a) ; celui qui, sans droit, entrepose, expédie, transporte, importe, exporte des stupéfiants ou les passe en transit (let. b) ; celui qui, sans droit, aliène ou prescrit des stupéfiants, en procure de toute autre manière à un tiers ou en met dans le commerce (let. c). L'art. 19 al. 2 LStup prévoit les cas aggravés pour lesquels une peine privative de liberté d'un an au moins doit être prononcée. Il réprime le comportement de l'auteur qui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(ATF 145 IV 312 consid. 2.1.1 ; TF 6B_1428/2019 du 5 février 2020 consid. 1.1.2). Le cas doit être considéré comme grave au sens de l'art. 19 al. 2 let. a LStup lorsque que le trafic de cocaïne porte sur une quantité supérieure à 18 grammes de substance pure (ATF 145 IV 312 consid. 2.1.1 ; ATF 138 IV 100 consid. 3.2). Les stupéfiants qui ont fait l'objet de plusieurs transactions doivent être pris en compte globalement pour décider de l'existence d'un cas grave, même si entre les diverses opérations, il n'existe qu'une relation de répétition et non de continuité. Il faut donc additionner les quantités de drogue émanant d'actes distincts (cf. ATF 114 IV 164 consid. 2b ; TF 6B_632/2008 du 10 mars 2009 consid. 2).</w:t>
      </w:r>
    </w:p>
    <w:p>
      <w:r>
        <w:rPr>
          <w:b/>
        </w:rPr>
        <w:t>E. 5.2.1</w:t>
      </w:r>
    </w:p>
    <w:p>
      <w:r>
        <w:t>S’agissant de l’ampleur de son implication dans le trafic de stupéfiants, l’appelant conteste l'essentiel des faits. Il admet avoir participé à la vente de 10 fingers à deux reprises et conteste avoir été l'utilisateur des téléphones employés dans le cadre du trafic, expliquant que ses téléphones étaient utilisés par plusieurs personnes différentes. On ne saurait toutefois accorder la moindre crédibilité à l'appelant, ce dernier changeant de version à chaque audition. Ainsi, il a tout d'abord nié toute implication dans un trafic de cocaïne lors de sa première audition du 29 mars 2022 (PV aud. 1). Il a ensuite reconnu cinq cas lors de son audition d'arrestation du 30 mars 2022, précisant que ceux-ci portaient sur des quantités de 100, 150 et 200 grammes et expliquant qu'il recevait par exemple 100 grammes d'une certaine personne, laquelle appelait une tierce personne pour qu'elle vienne rechercher la moitié, l'autre moitié étant laissée à sa disposition et à celle de ses comparses pour leur consommation propre ou pour une revente en rue (cf. PV aud. 2). Enfin, il n'a reconnu plus que deux cas de 10 fingers lors des débats de première instance (cf. jgmt, p. 6). Par ailleurs, les éléments contenus dans le rapport de police du 26 août 2021 sont suffisants pour retenir les 7 livraisons de cocaïne effectuées entre le 21 mai et le 31 octobre 2020. En effet, pour chaque réception de drogue, la police a pu extraire du téléphone portable de l'appelant des conversations WhatsApp. Celles-ci permettent d'établir son implication dans la filière nigériane de trafic de cocaïne. On dispose également d'autres éléments à charge. Ainsi, l’appelant disposait de plusieurs raccordements téléphoniques et sa voix a été reconnue lors d'échanges entre divers protagonistes au sein du réseau (cf. P. 23). Il a configuré une minuterie (timer) sur plusieurs conversations WhatsApp pour qu'elles s'effacent automatiquement après 24 h. N.________ est membre de la Confraternité suprême des Vikings, connue comme étant une organisation criminelle (cf. P. 47). L'analyse des données obtenues sur le raccordement +4177[...] couvrant la période du 28 juin 2021 au 25 octobre 2021 a montré que l'appelant a eu de multiples contacts avec des personnes connues par la police notamment dans le domaine des stupéfiants. Un contrôle téléphonique direct a été placé sur le raccordement précité entre le 27 octobre 2021 et le 24 janvier 2022 ; cette mesure a permis d'intercepter plusieurs conversations avec une prophétesse payée par l'appelant pour chasser les mauvais esprits ; lors de ces appels, l’appelant a notamment avoué qu'il fournissait de la drogue (cf. P. 47). Pour le reste, la version de l'appelant selon laquelle il prêtait ses cartes Sim et téléphones n'est pas crédible. Comme le Tribunal criminel, on doit admettre que l’appelant est l'utilisateur des raccordements et la personne impliquée dans les échanges. En effet, les raccordements +7177[...] et +4177[...], utilisés pour les conversations mises en exergue par l'instruction, ont été insérés dans le même boitier, soit le Samsung S10 retrouvé en possession de l’appelant lors de son contrôle douanier du 14 février 2021 à [...] et visé au cas 5 de l'acte d'accusation (cf. chiffre 2.4 supra). Le second raccordement susmentionné est en outre au nom de l’appelant. A cela s'ajoute que ce dernier est l'auteur de messages audios retrouvés dans les conversations WhatsApp du premier raccordement ayant précisément pour objet des commandes et réceptions de cocaïne. Enfin, dans l'extraction du téléphone portable d'A.________, la photo de profil WhatsApp de l'utilisateur du second raccordement est une photo qui se trouve également dans les photos du compte lnstagram [...] et que la biographie de ce compte contient une indication strictement similaire à celle du premier raccordement susmentionné. Par ailleurs, A.________ a confirmé que l’appelant était l'utilisateur de ces raccordements. En audition, O.________ a reconnu l’appelant sur planches photographiques et confirmé que ce dernier était l'utilisateur des raccordements +4177[...], +4177[...], +4177[...] et +4177[...] (cf. P. 23 p. 5 ; P. 24). Au regard de l'ensemble de ces éléments, on doit retenir que l’appelant était l'utilisateur des raccordements et qu'il est bien l'auteur des faits qui lui sont reprochés. Les différences de numéros IMEI plaidées par l’appelant aux débats d’appel ne permettent pas de remettre en doute son implication dans le trafic de stupéfiants. En effet, les différents raccordements attribués à l’appelant ne sont qu’un des éléments de preuve l’incriminant dans ledit trafic. En outre, compte tenu de la similitude des différents numéros IMEI figurant dans le rapport, une erreur de plume n’est pas à exclure. Pour le reste, on ne peut croire l'appelant lorsqu'il affirme ne pas savoir écrire, dès lors qu'il a indiqué, dans le cadre de ses premières déclarations, qu'il avait suivi sa scolarité primaire et secondaire au Nigéria (cf. PV aud. 1), cela d’autant plus que les messages étaient plutôt simples et ne nécessitaient que des connaissances élémentaires.</w:t>
      </w:r>
    </w:p>
    <w:p>
      <w:r>
        <w:rPr>
          <w:b/>
        </w:rPr>
        <w:t>E. 5.2.2</w:t>
      </w:r>
    </w:p>
    <w:p>
      <w:r>
        <w:t>Quant au taux de pureté de la drogue, les premiers juges ont considéré qu’il convenait de tenir compte d’un taux de pureté moyen, qui paraissait plus conforme à la réalité, étant fixé globalement sur la base des analyses effectuées sur une période considérée. En effet, rien ne permettait de retenir que les autres livraisons, dont certaines étaient antérieures de plusieurs mois à celle d’octobre 2020, avaient la même pureté que celle-ci, quand bien-même toutes se sont inscrites dans une même filière (cf. jgmt, p. 17). L’appelant relève qu'un seul et même fournisseur est impliqué dans le cadre de ce dossier, soit le dénommé D.________, qui réside aux Pays-Bas, que le trafic s'est déroulé dans un laps de temps restreint, qu'une quantité importante de stupéfiants provenant de ce fournisseur a été saisie, que celle-ci avait un taux de pureté compris entre 38.9% et 67,5% et que c'est par conséquent le taux le plus favorable qui aurait dû être appliqué à l'entier des cas qui lui sont reprochés. Il ressort du rapport du 4 janvier 2021 (cf. P. 54), que l'analyse de la cocaïne en possession de A.________ a révélé des taux de pureté entre 38.9 % et 67.5 %, en tenant compte des taux les plus favorables. Le taux de pureté moyenne de la cocaïne pour 2020, pour des quantités de 10 à 60 grammes bruts, étaient de 68%. Contrairement aux allégations de l'appelant, il n'y a pas lieu de tenir compte d'un taux de 38.9 % pour l'ensemble du trafic. D'une part, l'analyse de la cocaïne trouvée sur la mule prénommée a montré des taux extrêmement variables. D'autre part, le taux de pureté moyen est plus conforme à la réalité, étant fixé globalement sur la base des analyses effectuées sur une période considérée.</w:t>
      </w:r>
    </w:p>
    <w:p>
      <w:r>
        <w:rPr>
          <w:b/>
        </w:rPr>
        <w:t>E. 6</w:t>
      </w:r>
    </w:p>
    <w:p>
      <w:r>
        <w:t>Contestant sa condamnation pour recel, l'appelant explique avoir acheté le téléphone au prix de 300 fr. à un Nigérian à [...], et qu'il pensait ainsi de bonne foi que ce compatriote lui vendait un appareil qui lui appartenait.</w:t>
      </w:r>
    </w:p>
    <w:p>
      <w:r>
        <w:rPr>
          <w:b/>
        </w:rPr>
        <w:t>E. 6.1</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Le point de savoir si l'auteur du délit préalable a été poursuivi ou puni est sans pertinence. Il suffit que l'acte initial réalise les conditions objectives d'un comportement pénalement répréhensible (ATF 101 IV 402 consid. 2 et les références). Comme en matière de blanchiment (art. 305 bis CP), la preuve stricte de l'acte préalable n'est pas exigée (cf. ATF 120 IV 323 consid. 3d ; TF 6B_141/2007 du 24 septembre 2007 consid. 3.3.3). La qualification exacte de l'acte n'est pas nécessaire. Il suffit que la valeur patrimoniale soit issue avec certitude d'un délit contre le patrimoine. Enfin,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6B_728/2010 du 1 er mars 2011 consid. 2.2).</w:t>
      </w:r>
    </w:p>
    <w:p>
      <w:r>
        <w:rPr>
          <w:b/>
        </w:rPr>
        <w:t>E. 6.2</w:t>
      </w:r>
    </w:p>
    <w:p>
      <w:r>
        <w:t>Lors de son interrogatoire à Chiasso le 14 février 2021, l’appelant a expliqué qu'il avait acheté le téléphone en question à un Nigérian dans la rue à [...] pour 300 fr., que les africains avaient l'habitude d'acheter des choses à bas prix car ils n'avaient pas beaucoup d'argent et qu'il ne connaissait pas le nom du vendeur (cf. P. 18). Lors de son audition du 29 mars 2022, le prévenu a relevé qu'il n'avait pas acheté ce téléphone auprès d'un inconnu, mais d'un ami nigérian qu'il connaissait sous le nom de « [...] », qui habitait à [...] (PV aud. 1). Lors de son audition récapitulative, il a mentionné avoir acheté ce téléphone 200 fr. à quelqu'un qu'il avait rencontré à la route [...] et que normalement il n'achetait pas de téléphone comme ça dans la rue (PV aud. 8). Enfin, aux débats d’appel, il a indiqué qu’un nigérian surnommé « [...] » lui avait vendu le téléphone qu’il utilisait sans lui dire qu’il était volé et qu’il l’avait payé 200 francs. Les différentes versions de l’appelant ôtent toute crédibilité à ses explications s’agissant des circonstances de l’achat du téléphone. En achetant l’appareil dans la rue et à une personne quasiment inconnue, l’appelant devait raisonnablement se douter qu’il s’agissait d’un téléphone volé et en a, à tout le moins, accepté l’éventualité. Compte tenu de ce qui précède, les éléments constitutifs de l’infraction visée à l’art. 160 ch. 1 CP sont réalisés. La condamnation de l’appelant pour recel doit dès lors être confirmée.</w:t>
      </w:r>
    </w:p>
    <w:p>
      <w:r>
        <w:rPr>
          <w:b/>
        </w:rPr>
        <w:t>E. 7</w:t>
      </w:r>
    </w:p>
    <w:p>
      <w:r>
        <w:t>L'appelant conteste la quotité de la peine qui lui a été infligée, à savoir une peine privative de liberté de six ans.</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 – 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w:t>
      </w:r>
    </w:p>
    <w:p>
      <w:r>
        <w:rPr>
          <w:b/>
        </w:rPr>
        <w:t>E. 7.1.2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121 IV 193 consid. 2b/aa ; TF 6B_101/2021 du 22 décembre 2021 consid. 3.2). S'agissant de la méthamphétamine, il n'est pas contraire au droit fédéral de se référer à l'étude réalisée en 2010 par la Société suisse de médecine légale, qui recommande de fixer ce seuil à 12 g de substance pure (ATF 145 IV 312 consid. 2.2 à 2.4).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a agir, le juge doit distinguer le cas de celui qui est lui-même toxicomane et agit pour financer sa propre consommation de celui qui participe à un trafic uniquement poussé par l’appât du gain (TF 6B_101/2021 du 22 décembre 2021 consid. 3.2 ; TF 6B_227/2020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 121 IV 202 consid. 2d/aa ; ATF 118 IV 342 consid. 2d ; TF 6B_965/2018 du 15 novembre 2018 consid. 3.3).</w:t>
      </w:r>
    </w:p>
    <w:p>
      <w:r>
        <w:rPr>
          <w:b/>
        </w:rPr>
        <w:t>E. 7.1.3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En matière de trafic de stupéfiants, la jurisprudence a admis que les différents actes (acquisition, revente, distribution) n'entrent pas en concours entre eux, mais doivent être considérés comme une seule infraction ; en contrepartie, l'abondance des actes est prise en considération au stade de la fixation de la peine, les quantités de drogue en cause étant notamment additionnées pour dire si l'on se trouve en présence d'une infraction qui peut directement ou indirectement mettre en danger la vie de nombreuses personnes (ATF 110 IV 100 consid. 3).</w:t>
      </w:r>
    </w:p>
    <w:p>
      <w:r>
        <w:rPr>
          <w:b/>
        </w:rPr>
        <w:t>E. 7.2</w:t>
      </w:r>
    </w:p>
    <w:p>
      <w:r>
        <w:t>En l’espèce, les premiers juges ont retenu que la culpabilité de l’appelant était très lourde. L’enquête avait démontré qu’il était impliqué dans un trafic de cocaïne ayant des ramifications internationales et portant sur des quantités importantes. Son rôle au sein du réseau était significatif et indispensable, ayant en particulier des échanges avec des individus dont tout indiquait qu’ils étaient haut-placés. A charge, si la situation de l’appelant était certes précaire, il avait cependant la chance de disposer d’un permis de séjour italien de sorte qu’il n’avait aucune raison légitime de venir s’établir durablement en Suisse, cela d’autant moins pour s’y adonner à du trafic de stupéfiants. Sa collaboration en cours d’instruction n’avait guère été bonne, l’appelant ne reconnaissant que les faits les moins graves, minimisant son implication et variant dans ses déclarations, n’hésitant pas à se contredire malgré les éléments à charge qui lui étaient soumis (cf. jgmt, pp. 18-19). Cette appréciation ne prête pas le flanc à la critique et doit être confirmée. Comme on l’a vu, l’appelant plaide en vain que le trafic de stupéfiants auquel il s’est adonné aurait porté sur des quantités moins importantes que celles retenues par les premiers juges (cf. consid. 5.2.1 supra). L’appelant s’est ainsi rendu coupable de séjour illégal (cas 1 de l’acte d’accusation, cf. ch. 2.1 supra), d’infraction grave, infraction et contravention à la Loi fédérale sur les stupéfiants (cas 2, 3 et 4 de l’acte d’accusation ; cf. ch. 2.2, 2.3 et 2.4 supra) et de recel (cas 5 de l’acte d’accusation ; cf. ch. 2.5 supra). Les infractions sont en concours. L’infraction de base à la fixation de la peine, soit l’infraction grave à la LStup retenue contre l’appelant pour sa participation à un trafic portant sur une quantité minimale pure de 2'241.70 grammes de cocaïne doit être sanctionnée par une peine privative de liberté de 5 ans et 6 mois. Par l’effet du concours, on ajoutera 2 mois pour sanctionner le recel et 2 mois pour sanctionner le séjour illégal . La peine prononcée est dès lors adéquate pour sanctionner le comportement illicite de l’appelant et doit être confirmée. Il en va de même s’agissant de l’amende de 200 fr. sanctionnant la contravention à la LStup, qui n’est au demeurant pas contestée.</w:t>
      </w:r>
    </w:p>
    <w:p>
      <w:r>
        <w:rPr>
          <w:b/>
        </w:rPr>
        <w:t>E. 8</w:t>
      </w:r>
    </w:p>
    <w:p>
      <w:r>
        <w:t>L'appelant ne conteste pas son expulsion, mais l'inscription de celle-ci dans le système d'information Schengen. Il relève qu’une telle inscription mettrait en péril les démarches qu’il a faites pour renouveler son permis de séjour en Italie.</w:t>
      </w:r>
    </w:p>
    <w:p>
      <w:r>
        <w:rPr>
          <w:b/>
        </w:rPr>
        <w:t>E. 8.1</w:t>
      </w:r>
    </w:p>
    <w:p>
      <w:r>
        <w:t>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ces indications claires de son intention de commettre une telle infraction sur le territoire d'un Etat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8.2</w:t>
      </w:r>
    </w:p>
    <w:p>
      <w:r>
        <w:t>Au regard des infractions commises et de sa culpabilité, notamment de l’ampleur et du caractère organisé et international du trafic auquel il s’est adonné, l'appelant présente une menace pour la sécurité et l'ordre public. Il n'a jamais invoqué de motif convainquant et crédibles pour lequel il ne pourrait pas retourner dans son pays d'origine où vivent les membres de sa famille avec laquelle il a toujours des relations étroites. Dans ces conditions, l'inscription de l'expulsion dans le SIS est proportionnée et doit être confirmée.</w:t>
      </w:r>
    </w:p>
    <w:p>
      <w:r>
        <w:rPr>
          <w:b/>
        </w:rPr>
        <w:t>E. 9</w:t>
      </w:r>
    </w:p>
    <w:p>
      <w:r>
        <w:t>L'appelant requiert la restitution du téléphone Samsung S10 noir, n° IMEI 35222911320866, saisi à [...] le</w:t>
      </w:r>
    </w:p>
    <w:p>
      <w:r>
        <w:rPr>
          <w:b/>
        </w:rPr>
        <w:t>E. 14</w:t>
      </w:r>
    </w:p>
    <w:p>
      <w:r>
        <w:t>février 2021, séquestré sous fiche n° 31758. Il n’y a cependant pas lieu de restituer ce téléphone à l’appelant dans la mesure où sa condamnation pour recel est confirmée (cf. consid. 6.2 supra) et qu’il a en outre déclaré aux débats d’appel avoir financé l’achat de ce téléphone avec l’argent de son trafic. Par conséquent, il convient de confirmer la confiscation et la destruction de cet appareil. 10. Conformément à l’art. 51 CP, la détention subie depuis le jugement de première instance sera déduite de la peine privative de liberté prononcée. Pour garantir l’exécution de la peine et de l’expulsion et au vu notamment des risques de fuite et de réitération présentés par l’appelant, qui n’a aucune source de revenu légal ni domicile officiel en Suisse, son maintien en détention pour des motifs de sûreté doit être ordonné. 11. En définitive, l’appel doit être rejeté et le jugement entrepris intégralement confirmé. Par courrier du 24 avril 2023, le défenseur d’office de N.________, Me Julien Lanfranconi, a indiqué qu’il ne représentait plus ce dernier qui était désormais défendu par Me Ludovic Tirelli, défenseur de choix. Il convient de relever Me Julien Lanfranconi de son mandat d’office avec effet au 24 avril 2023. Sur la base de la liste d’opérations qu’il a produite (P. 84), faisant état de 4.54 heures de travail, ce qui peut être admis, c’est une indemnité d’office de 2’010 fr. 35, correspondant à des honoraires de 1'470 fr., plus des débours forfaitaires de 2%, par 29 fr. 40, et la TVA de 7,7% sur le tout, par 124 fr. r. 70, qui sera allouée à Me Lanfranconi pour la procédure d’appel. Vu l’issue de la cause, les frais de la procédure d’appel, par 5'460 fr. 35, constitués de l’émolument de jugement et d’audience, par 3’450 fr. (art. 21 al. 1 et 2 TFIP [Tarif des frais de procédure et indemnités en matière pénale du 28 septembre 2010 ; BLV 312.03.1]), et l'indemnité du défenseur d'office de l'appelant, par 2’010 fr. 35, sont mis à la charge de N.________, qui succombe (art. 428 al. 1, 1 re phrase, CPP). N.________ ne sera tenu de rembourser à l’Etat le montant de l’indemnité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