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144 vom 25. Mai 2022</w:t>
      </w:r>
    </w:p>
    <w:p>
      <w:r>
        <w:t>VD Tribunal cantonal, 2022-05-25, FR</w:t>
      </w:r>
    </w:p>
    <w:p>
      <w:r>
        <w:rPr>
          <w:b/>
        </w:rPr>
        <w:t xml:space="preserve">Quelle: </w:t>
      </w:r>
      <w:r>
        <w:t>https://mcp.opencaselaw.ch/entscheid/vd_findinfo_Jug___2023___144</w:t>
      </w:r>
    </w:p>
    <w:p>
      <w:r>
        <w:t>FR: VD_FINDINFO Jug / 2023 / 144 du 25 mai 2022</w:t>
      </w:r>
    </w:p>
    <w:p>
      <w:r>
        <w:t>IT: VD_FINDINFO Jug / 2023 / 144 del 25 maggio 2022</w:t>
      </w:r>
    </w:p>
    <w:p>
      <w:pPr>
        <w:pStyle w:val="Heading2"/>
      </w:pPr>
      <w:r>
        <w:t>Regeste</w:t>
      </w:r>
    </w:p>
    <w:p>
      <w:r>
        <w:t>LIBERTÉ D'EXPRESSION, ACQUITTEMENT, PROTECTION DU CLIMAT, LIBERTÉ DE MANIFESTATION, ENTRAVE AUX SERVICES D'INTÉRÊT GÉNÉRAL, IN DUBIO PRO REO | 10 CEDH, 11 CEDH, 14 CP, 10 CPP (CH), 41 RGP</w:t>
      </w:r>
    </w:p>
    <w:p>
      <w:pPr>
        <w:pStyle w:val="Heading2"/>
      </w:pPr>
      <w:r>
        <w:t>Erwägungen</w:t>
      </w:r>
    </w:p>
    <w:p>
      <w:r>
        <w:rPr>
          <w:b/>
        </w:rPr>
        <w:t>E. 1</w:t>
      </w:r>
    </w:p>
    <w:p>
      <w:r>
        <w:t>Interjetés dans les formes et délais légaux (art. 399 et 400 al. 3 let. b CPP [Code de procédure pénale suisse du 5 octobre 2007 ; RS 312.0]) par des parties ayant qualité pour recourir contre le jugement d'un tribunal de première instance qui a clos la procédure (art. 398 al. 1 CPP), les appels d’A.________ et de C.________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w:t>
      </w:r>
    </w:p>
    <w:p>
      <w:r>
        <w:t>Les appelants, dont les déclarations d’appel sont identiques, concluent à leur acquittement respectif des infractions retenues en première instance. Comme ils l’ont plaidé en audience d’appel, ils contestent avoir joué un « rôle prépondérant tout au long du trajet », tel qu’indiqué dans le rapport de police, relèvent que la manifestation, pacifiste, a été de courte durée et se plaignent d’une violation de leur liberté de manifester.</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w:t>
      </w:r>
    </w:p>
    <w:p>
      <w:r>
        <w:rPr>
          <w:b/>
        </w:rPr>
        <w:t>E. 3.2.1</w:t>
      </w:r>
    </w:p>
    <w:p>
      <w:r>
        <w:t>L'art. 14 CP dispose que quiconque agit comme la loi l'ordonne ou l'autorise se comporte de manière licite, même si l'acte est punissable en vertu du code pénal ou d'une autre loi.</w:t>
      </w:r>
    </w:p>
    <w:p>
      <w:r>
        <w:rPr>
          <w:b/>
        </w:rPr>
        <w:t>E. 3.2.2.1</w:t>
      </w:r>
    </w:p>
    <w:p>
      <w:r>
        <w:t>Les libertés d'opinion et d'information sont garanties par l'art. 16 al. 1 Cst. Toute personne a le droit de former, d'exprimer et de répandre librement son opinion (art. 16 al. 2 Cst.). Selon l'art. 10 § 1 CEDH, la liberté d'expression comprend la liberté d'opinion et la liberté de recevoir ou de communiquer des informations ou des idées sans qu'il puisse y avoir ingérence d'autorités publiques et sans considération de frontière. L'art. 22 Cst. garantit la liberté de réunion (al. 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(ATF 144 I 281 consid. 5.3.1 ; ATF 132 I 256 consid. 3 ; TF 6B_655/2022 du 31 août 2022 consid. 4.2). L'art. 11 § 1 CEDH (en relation avec l'art. 10 CEDH), qui consacre notamment le droit de toute personne à la liberté de réunion et à la liberté d'association, offre des garanties comparables (ATF 132 I 256 consid. 3) ;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(art. 11 § 2 1 re phrase CEDH ; TF 6B_655/2022 précité consid. 4.2).</w:t>
      </w:r>
    </w:p>
    <w:p>
      <w:r>
        <w:rPr>
          <w:b/>
        </w:rPr>
        <w:t>E. 3.2.2.2</w:t>
      </w:r>
    </w:p>
    <w:p>
      <w:r>
        <w:t>Selon la jurisprudence du Tribunal fédéral, il existe en principe, sur la base de la liberté d'opinion, d'information et de réunion, un droit conditionnel à l'usage accru du domaine public pour des manifestations avec appel au public.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Cela implique de soumettre la tenue de telles réunions à autorisation . 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Plus simplement, il s'agit d'assurer l'utilisation adéquate des installations publiques disponibles dans l'intérêt de la collectivité et du voisinage ainsi que de limiter l'atteinte portée par la manifestation aux libertés des tiers non-manifestants (TF 6B_246/2022 du 12 décembre 2022 consid. 3.2.2 ; TF 6B_655/2022 précité consid. 4.3).</w:t>
      </w:r>
    </w:p>
    <w:p>
      <w:r>
        <w:rPr>
          <w:b/>
        </w:rPr>
        <w:t>E. 3.2.2.3</w:t>
      </w:r>
    </w:p>
    <w:p>
      <w:r>
        <w:t>La Haute cour a confirmé que les autorités doivent pouvoir sanctionner ceux qui participent à une manifestation non autorisée, sans quoi une procédure d'autorisation serait illusoire (arrêt de la CourEDH Ziliberberg c. Moldova , du 1 er février 2005, n° 61821/00). Elle a rappelé que si les conditions prévues dans l'autorisation de manifester ne sont pas respectées, les organisateurs et les participants pourront, le cas échéant, être punis par une amende, en application de l'art. 292 CP ou d'une norme cantonale, pour autant qu'il n'y ait pas de disproportion entre le non-respect des conditions et la sanction (ATF 105 Ia 15 ; TF 6B_655/2022 précité consid. 4.4.1). Le fait qu'une manifestation n'a pas été autorisée ne permet pas à la police de la dissoudre par tous les moyens (TF 6B_655/2022 précité consid. 4.4.2). Selon la CourEDH, les autorités doivent faire preuve d'une certaine tolérance à l'égard des rassemblements pacifiques, ce qui implique une pesée des intérêts en présence (arrêts de la CourEDH Kudrevicius et autres c. Lituanie [GC] du 15 octobre 2015, § 150; Navalnyy et Yashin c. Russie du 4 décembre 2014, § 63). Il convient donc d'établir les raisons pour lesquelles la manifestation n'avait pas été autorisée dans un premier temps, l'intérêt général en jeu et les risques que comportait le rassemblement. La méthode utilisée par la police pour décourager les manifestants, pour les contenir dans un endroit particulier ou pour disperser la manifestation constitue également un élément important pour l'appréciation de la proportionnalité de l'ingérence (arrêt de la CourEDH Primov et autres c. Russie du 13 octobre 2014, § 119). La tolérance des autorités doit également s'étendre aux réunions qui entraînent des perturbations de la vie quotidienne, notamment de la circulation routière (arrêt de la CourEDH Kudrevicius et autres c. Lituanie [GC] du 15 octobre 2015, § 155). Les limites de la tolérance que les autorités sont censées manifester à l'égard d'un rassemblement illicite dépendent des circonstances particulières de l'espèce, notamment de la durée et de l'ampleur du trouble à l'ordre public causé par le rassemblement ainsi que de la question de savoir si ses participants se sont vu offrir une possibilité suffisante d'exprimer leurs opinions et de quitter les lieux une fois que l'ordre leur en a été donné (arrêt de la CourEDH Frumkin c. Russie du 5 janvier 2016, § 97).</w:t>
      </w:r>
    </w:p>
    <w:p>
      <w:r>
        <w:rPr>
          <w:b/>
        </w:rPr>
        <w:t>E. 3.2.2.4</w:t>
      </w:r>
    </w:p>
    <w:p>
      <w:r>
        <w:t>Les actions de blocage peuvent donner lieu à des condamnations pénales (TF 6B_655/2022 précité consid. 4.5). Ainsi, le Tribunal fédéral a confirmé la condamnation pour contrainte (art. 181 CP), à des amendes allant de 500 fr. à 2'000 fr., des activistes climatiques qui avaient bloqué pendant onze jours le transit vers et en provenance de trois centrales atomiques (ATF 129 IV 6). Dans une autre affaire, des manifestants avaient bloqué pendant environ une heure et demie l'entrée et la sortie d'un tunnel routier, y compris les voies de secours. Ils furent aussi condamnés pour délit de contrainte (ATF 134 IV 216 consid. 5.2). Il y a eu également contrainte lorsque des manifestants avaient bloqué l'accès à un bâtiment où se tenait une exposition consacrée à l'armée par un "tapis humain", formé par des personnes qui s'étaient couchées en rangs serrés sur le sol (ATF 108 IV 165). La CourEDH a aussi admis que lorsque des manifestants perturbent intentionnellement la vie quotidienne et les activités licites d'autrui, ces perturbations peuvent justifier l'imposition de sanctions, y compris de nature pénale, lorsque leur ampleur dépasse celle qu'implique l'exercice normal de la liberté de réunion pacifique (arrêt de la CourEDH Kudrevicius et autres c. Lituanie du 15 octobre 2015 [GC], §§ 173-174 ; voir aussi arrêt de la CourEDH Barraco c. France du 5 mars 2009, §§ 46-47). Elle a ainsi considéré que le blocage quasi total de trois autoroutes importantes, au mépris flagrant des ordres de la police et des intérêts et droits des usagers de la route, s'analysait en un comportement qui, tout en étant moins grave que le recours à la violence physique, pouvait être qualifié de « répréhensible » (arrêt de la CourEDH Kudrevicius et autres c. Lituanie [GC], §§ 173-174 ; voir aussi Barraco c. France , §§ 46-47).</w:t>
      </w:r>
    </w:p>
    <w:p>
      <w:r>
        <w:rPr>
          <w:b/>
        </w:rPr>
        <w:t>E. 3.3.1</w:t>
      </w:r>
    </w:p>
    <w:p>
      <w:r>
        <w:t>En l’espèce, il est admis qu’A.________ et C.________ ont tous deux participé à la manifestation du 9 juin 2020. Il ne peut toutefois être retenu, sur la base des faits incriminés, qu’ils aient été parmi les organisateurs de la manifestation litigieuse, ou qu’ils aient été directement impliqués dans le mouvement...] [...], lequel est à l’origine de cette action. Partant, on doit considérer qu’en tant que « simples participants », il ne pouvait être exigé d’eux qu’ils sollicitent une autorisation préalable pour se joindre à la manifestation organisée en amont par le collectif précité. La contravention à la loi sur les contraventions (LContr ; BLV 312.11) en relation avec l’art. 41 RGP (règlement général de police de la Commune de Lausanne du 27 novembre 2011) ne sera donc pas retenue.</w:t>
      </w:r>
    </w:p>
    <w:p>
      <w:r>
        <w:rPr>
          <w:b/>
        </w:rPr>
        <w:t>E. 3.3.2.1</w:t>
      </w:r>
    </w:p>
    <w:p>
      <w:r>
        <w:t>L a manifestation du 9 juin 2020 a débuté à proximité du [...] et a consisté ensuite en un cortège à travers la ville de [...], avec plusieurs dizaines de manifestants, qui, tant sur la chaussée que sur le trottoir, sont descendus jusqu’au bas de la Rue [...], en s’immobilisant notamment au carrefour [...], puis en descendant par l’Avenue du [...], jusqu’au bas de l’Avenue [...], où il y a eu un nouveau « sit-in » avant que tous les participants se dispersent. Le Tribunal de police a retenu que selon le rapport d’investigation du 8 décembre 2020, chacun des deux prévenus, avec d’autres, avait été identifié parmi les nombreux autres manifestants, semble-t-il non dénoncés ou non identifiés. Il a indiqué que ce rapport de police avait été établi sur la base de photographies sur lesquelles on reconnaissait effectivement les deux prévenus, tantôt debout tantôt assis. Il en déduisait que la version de la police était exacte. Il était permis de penser qu’il n’y aurait pas eu de dénonciation si les prévenus s’étaient contentés de cheminer debout. Le fait d’être assis était constitutif de contravention à l’art. 90 LCR et d’entrave aux services d’intérêts généraux puisque plusieurs lignes de bus passent aux endroits concernés.</w:t>
      </w:r>
    </w:p>
    <w:p>
      <w:r>
        <w:rPr>
          <w:b/>
        </w:rPr>
        <w:t>E. 3.3.2.2</w:t>
      </w:r>
    </w:p>
    <w:p>
      <w:r>
        <w:t>Force est de constater qu’on ne dispose pas d’éléments suffisants au dossier détaillant le comportement précis reproché à A.________ et à C.________. En particulier, pour autant qu’on puisse retenir que les prévenus se sont assis sur la chaussée – ce que les photographies annexées au rapport de police ne permettent pas de constater –, on ignore combien de temps ils seraient restés dans cette position, le rapport de police indiquant uniquement que les manifestants se sont immobilisés au carrefour [...], qu’ils sont repartis quinze minutes plus tard, puis qu’un nouveau « sit-in » a eu lieu au giratoire du bas de l’Avenue [...]. Par ailleurs, il ne leur est pas reproché de ne pas s’être immédiatement pliés aux injonctions de la police. Ainsi, contrairement à ce qu’a considéré le premier juge, on ne saurait retenir que les prévenus ont excédé les limites de la tolérance censée être manifestée par les autorités à l'égard d'un rassemblement illicite selon la jurisprudence précitée. Leur cas doit ainsi être distingué de celui de manifestants qui seraient restés longtemps assis sur la chaussée avec l’intention de bloquer durablement et par tous les moyens le trafic, qui se seraient organisés préalablement à cette fin et/ou qui n’auraient pas obtempéré aux injonctions de la police en s’accrochant par exemple les uns aux autres afin de rendre leur évacuation plus difficile. Comme relevé ci-dessus, même à retenir que les prévenus se seraient assis sur la chaussée – ce que C.________ ne conteste pas en soi –, ceci n’est pas suffisant – faute de disposer d’autres éléments – pour fonder le prononcé d’une condamnation pour entrave aux services d’intérêt général et violation simple des règles de la circulation routière, les prévenus pouvant à cet égard se prévaloir de leur droit de manifester tel qu’il résulte des art. 10 et 11 CEDH. En application de l’art. 14 CP, les prévenus, qui doivent être mis au bénéfice de leurs déclarations, doivent par conséquent être entièrement acquittés, les frais de la procédure de première instance qui les concernent étant laissés à la charge de l’Etat.</w:t>
      </w:r>
    </w:p>
    <w:p>
      <w:r>
        <w:rPr>
          <w:b/>
        </w:rPr>
        <w:t>E. 4</w:t>
      </w:r>
    </w:p>
    <w:p>
      <w:r>
        <w:t>En définitive, les appels doivent être admis et le jugement entrepris réformé dans le sens des considérant qui précèdent. Vu l’issue de la cause, les frais de la procédure d’appel, constitués du seul émolument de jugement (art. 422 al. 1 CPP), par 1'500 fr. (art. 21 al. 1 et 2 TFIP [tarif des frais de procédure et indemnités en matière pénale du 28 septembre 2010 ; BLV 312.03.1]),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