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121 vom 17. November 2021</w:t>
      </w:r>
    </w:p>
    <w:p>
      <w:r>
        <w:t>VD Tribunal cantonal, 2021-11-17, FR</w:t>
      </w:r>
    </w:p>
    <w:p>
      <w:r>
        <w:rPr>
          <w:b/>
        </w:rPr>
        <w:t xml:space="preserve">Quelle: </w:t>
      </w:r>
      <w:r>
        <w:t>https://mcp.opencaselaw.ch/entscheid/vd_findinfo_Jug___2023___121</w:t>
      </w:r>
    </w:p>
    <w:p>
      <w:r>
        <w:t>FR: VD_FINDINFO Jug / 2023 / 121 du 17 novembre 2021</w:t>
      </w:r>
    </w:p>
    <w:p>
      <w:r>
        <w:t>IT: VD_FINDINFO Jug / 2023 / 121 del 17 novembre 2021</w:t>
      </w:r>
    </w:p>
    <w:p>
      <w:pPr>
        <w:pStyle w:val="Heading2"/>
      </w:pPr>
      <w:r>
        <w:t>Regeste</w:t>
      </w:r>
    </w:p>
    <w:p>
      <w:r>
        <w:t>UNITÉ DE LA PROCÉDURE, APPRÉCIATION ANTICIPÉE DES PREUVES, PRÉSOMPTION D'INNOCENCE, PRINCIPE DE L'ACCUSATION, PROTECTION DU CLIMAT, LIBERTÉ D'EXPRESSION, LIBERTÉ DE RÉUNION, ENTRAVE AUX SERVICES D'INTÉRÊT GÉNÉRAL, AUTORISATION PRÉALABLE, MANIFESTATION, PRINCIPE DE LA CÉLÉRITÉ, EXEMPTION DE PEINE, MOBILE | 10 CEDH, 11 CEDH, 239 CP, 286 CP, 48 let. a ch. 1 CP, 52 CP, 29 al. 1 Cst., 10 CPP (CH), 29 al. 1 CPP (CH), 30 CPP (CH), 325 al. 1 let. f CPP (CH), 389 CPP (CH), 5 CPP (CH), 9 CPP (CH), 41 RGP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w:t>
      </w:r>
    </w:p>
    <w:p>
      <w:r>
        <w:rPr>
          <w:b/>
        </w:rPr>
        <w:t>E. 1.2</w:t>
      </w:r>
    </w:p>
    <w:p>
      <w:r>
        <w:t>En l’occurrence, dans son arrêt du 21 juillet 2022, le Tribunal fédéral a considéré que les questions qui se posaient à la cour cantonale relevaient également des faits et non exclusivement du droit, raison pour laquelle celle-ci avait violé l’art. 406 al. 1 let. a CPP en traitant les appels en procédure écrite. Il a dès lors renvoyé la cause à la Cour d’appel pénale en précisant que des débats devraient être tenus et a déclaré les autres griefs des recourants sans objet.</w:t>
      </w:r>
    </w:p>
    <w:p>
      <w:r>
        <w:rPr>
          <w:b/>
        </w:rPr>
        <w:t>E. 2.1</w:t>
      </w:r>
    </w:p>
    <w:p>
      <w:r>
        <w:t>A titre de mesures d’instruction, les appelants requièrent la production des dossiers complets de la Municipalité de Lausanne et de la Police municipale de Lausanne concernant la manifestation du 14 décembre 2019. L’appelant V.________ requiert en plus la production du dossier des Transports publics de la région lausannoise. L’appelant L.________ requiert des productions détaillées consistant en la communication du « protocole » de son interpellation, au versement au dossier du rapport relatif à l’activité de « renseignements » et d’« observation » de la police préalable à la manifestation, indiquant avec précision les actes d’enquête, le nom des fonctionnaires impliqués ainsi que les bases légales sur lesquelles s’était fondée cette activité, ainsi que le matériel recueilli dans ce cadre. Il sollicite enfin l’audition des agents ayant procédé à son interpellation, établi et rédigé le rapport de police et, subsidiairement, que l’irrecevabilité de ce rapport soit constatée et qu’il soit retiré du dossier. Au demeurant, L.________ sollicite l’audition de quatre spécialistes de divers domaines liés au dérèglement climatique, qui seraient en mesure d’apporter des éléments scientifiques attestant de l’urgence et de la gravité du problème. Enfin, V.________ requiert l’audition d’un témoin de moralité.</w:t>
      </w:r>
    </w:p>
    <w:p>
      <w:r>
        <w:rPr>
          <w:b/>
        </w:rPr>
        <w:t>E. 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6B_238/2020 du 14 décembre 2020 consid. 3.2 ; TF 6B_481/2020 du 17 juillet 2020 consid. 1.2 ;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 TF 6B_78/2020 du 1 er avril 2020 consid. 1.1). Le magistrat peut ainsi refuser des preuves nouvelles, lorsqu'une administration anticipée de ces preuves démontre qu'elles ne seront pas de nature à modifier le résultat de celles déjà administrées (ATF 136 I 229 consid. 5.3, JdT 2011 I 58). Le refus d'instruire ne viole ainsi le droit d'être entendu des parties et l'art. 389 al. 3 CPP que si l'appréciation anticipée effectuée est entachée d'arbitraire (ATF 144 II 427 consid. 3.1.3 ; ATF 141 I 60 consid. 3.3 et les réf. citées, JdT 2015 I 115 ; TF 6B_1331/2020 du 18 janvier 2021 consid. 1.1).</w:t>
      </w:r>
    </w:p>
    <w:p>
      <w:r>
        <w:rPr>
          <w:b/>
        </w:rPr>
        <w:t>E. 2.3</w:t>
      </w:r>
    </w:p>
    <w:p>
      <w:r>
        <w:t>En l’espèce, la production des dossiers municipaux et des Transports publics lausannois n’apparaît pas nécessaire, le dossier judiciaire étant suffisamment complet sur le plan des faits pour permettre à la Cour de céans de statuer en droit. On relève que le fait que la manifestation était connue des autorités n’est pas litigieux et figure d’ailleurs dans le rapport de police. Il ressort par ailleurs du dossier que, sur demande du mouvement [...], une rencontre a eu lieu entre deux membres de celui-ci et des représentants des autorités le 18 septembre 2019. A cette occasion, [...] a présenté ses principes et revendications et annoncé le fait que des actions de blocage allaient se produire en ville de Lausanne (P. 17/4). A cet égard, il n’est pas reproché aux appelants d’avoir pris part à une manifestation connue, mais à une manifestation qui n’avait pas été autorisée. Les réquisitions des appelants ne sont donc pas pertinentes – y compris en ce qui concerne les actes « préalables » de la police – sous cet angle non plus. Pour les mêmes raisons, il n’est pas plus utile de procéder à l’audition des agents de police demandée. On ne discerne pas non plus ce que la communication des heures précises d’interpellation et de relaxe de L.________ pourrait apporter de pertinent au dossier, étant relevé que le rapport de police détaille de manière suffisamment précise la chronologie des événements et qu’il n’est pas contesté que les interpellations ont eu lieu entre 13h35 et 15h55 et que les derniers manifestants ont été libérés vers 18h00. S’agissant de la prétendue inexploitabilité du rapport de police, on constate que cette réquisition n’est aucunement motivée. La Cour d’appel ne voit donc pas sur quelle base elle retirerait cette pièce du dossier. Elle observe néanmoins que le « dispositif d’observation/interception » (« dispositif préventif ») auquel le rapport de police fait référence a pu être mis en place le jour même de la manifestation sur la base des « informations recueillies » notamment par le biais des réseaux sociaux, lesquels annonçaient, depuis plusieurs semaines, une action de blocage de la part des militants [...] sur la place [...] à la date prévue du 14 décembre 2019. La police était ainsi d’emblée légitimée à considérer que la manifestation en question comportait des risques pour l’ordre et la tranquillité publics, d’autant plus que d’autres manifestations avaient déjà eu lieu en ville de Lausanne en septembre 2019. On ne saurait, dans ces conditions, considérer le rapport de police comme un moyen de preuve qui aurait été obtenu dans le cadre d’une surveillance ordonnée de manière illicite dans l’espace public. Enfin, on rappellera que si le principe de l'appréciation des preuves interdit d'attribuer d'entrée de cause une force probante accrue à certains moyens de preuve, comme des rapports de police (TF 1P.283/2006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 Les auditions de témoins spécialistes du climat requises ne sont pour le surplus pas nécessaires, dans la mesure où la réalité du dérèglement climatique est désormais reconnue. En effet, dans des récentes causes similaires, la Cour de céans a déjà constaté que de nombreux rapports d’experts démontraient que les émissions de gaz à effet de serre provoquées par les activités humaines étaient à l'origine d'un réchauffement climatique mondial qui s'élevait actuellement à environ 1°C en moyenne par rapport à la période préindustrielle. Cette élévation de la température provoquait notamment une augmentation de l'intensité et de la fréquence de certains phénomènes climatiques et météorologiques extrêmes – tels que des vagues de chaleurs,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8 novembre 2022/226 consid. 3.3 ; CAPE 28 septembre 2022/302 consid. 4.2 ; CAPE 22 septembre 2020/371 consid. 6.3). S’agissant enfin de la réquisition de l’appelant V.________ tendant à l’audition d’un témoin de moralité, elle est superflue également dans la mesure où la situation personnelle de ce prévenu, et en particulier la solidité de ses convictions quant à la nécessité de lutter contre le dérèglement climatique, est connue et reconnue par le premier juge dans son jugement. En définitive, l’ensemble des réquisitions de preuve des appelants, non pertinentes, doivent être rejetées.</w:t>
      </w:r>
    </w:p>
    <w:p>
      <w:r>
        <w:rPr>
          <w:b/>
        </w:rPr>
        <w:t>E. 3.1</w:t>
      </w:r>
    </w:p>
    <w:p>
      <w:r>
        <w:t>Invoquant une violation de la présomption d’innocence et du principe de l’unité de la procédure, les appelants requièrent, à titre préalable, la suspension de la procédure d’appel jusqu’au dépôt de l’ensemble des déclarations d’appel formées contre les jugements rendus ou à venir à l’encontre des participants à la manifestation du 14 décembre 2019. Ils sollicitent en outre la jonction de toutes ces procédures.</w:t>
      </w:r>
    </w:p>
    <w:p>
      <w:r>
        <w:rPr>
          <w:b/>
        </w:rPr>
        <w:t>E. 3.2.1</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L’art. 29 CPP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et 3 al. 2 let. c CPP) et sert l'économie de la procédure (ATF 138 IV 214 consid. 3.2 ; ATF 138 IV 29 consid. 3.2, JdT 2012 IV 185 ; TF 6B_655/2022 du 31 août 2022 consid. 1.1 et les réf. citées). Le Tribunal fédéral a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 JdT 2010 IV 164 ; ATF 116 Ia 316 consid. 4b, JdT 1992 I 2 ; TF 6B_655/2022 du 31 août 2022 consid. 1.1). La disjonction de procédures doit rester l'exception (ATF 144 IV 97 consid. 3.3, JdT 2018 IV 263 ; ATF 138 IV 214 consid. 3.2). Elle doit avant tout servir à garantir la rapidité de la procédure et à éviter un retard inutile (ATF 138 IV 214 consid. 3.2 ; TF 6B_655/2022 du 31 août 2022 consid. 1.1 et les réf. citées). Constituent des motifs objectifs justifiant la disjonction de causes un nombre élevé de coprévenus rendant la conduite d'une procédure unique trop difficile, une incapacité de comparaître de longue durée d'un des coprévenus – en fuite ou en raison d'une maladie – ou l'imminence de la prescription (ATF 138 IV 214 consid. 3.2 ; TF 6B_655/2022 du 31 août 2022 consid. 1.1 et les réf. citées ; Bouverat, in : Kuhn/Jeanneret/Perrier Depeursinge [éd.], Commentaire romand, Code de procédure pénale suisse, 2 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en soi pas des motifs de disjonction (ATF 138 IV 214 consid. 3.2 ; TF 6B_655/2022 du 31 août 2022 et les réf. citées).</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JdT 2020 IV 283 ; ATF 145 IV 154 consid. 1.1 ; ATF 144 IV 345 consid. 2.2.3.3).</w:t>
      </w:r>
    </w:p>
    <w:p>
      <w:r>
        <w:rPr>
          <w:b/>
        </w:rPr>
        <w:t>E. 3.3</w:t>
      </w:r>
    </w:p>
    <w:p>
      <w:r>
        <w:t>Dans le cas d’espèce et comme l’a relevé le Tribunal de police, certains prévenus ont participé à d’autres manifestations qui ont donné lieu à des procédures distinctes, de sorte qu’une éventuelle identité de causes fait défaut. En outre, une requête tendant à réunir les causes d’une centaine de manifestants en une procédure judiciaire unique est incompatible avec le principe de célérité consacré à l’art. 5 al. 1 CPP et contreviendrait au principe d’économie de la procédure. A cet égard, la jurisprudence et la doctrine admettent que le nombre élevé de coprévenus rendant la conduite d'une procédure unique trop difficile constitue un motif objectif justifiant la disjonction de causes (cf. consid. 3.2.1 supra ). Tel est bien le cas en l’espèce, puisque la tenue et le déroulement d’un procès réunissant une centaine de personnes seraient indéniablement compromis pour des raisons évidentes d’organisation. On ajoutera que certains prévenus ont fait ou feront appel, alors que d’autres non, si bien qu’il est vain d’envisager une jonction au stade de la procédure de deuxième instance. Par ailleurs, on ne distingue pas en quoi un des intéressés serait susceptible de rejeter la faute sur les autres de sorte qu’il existerait un risque d’aboutir à des jugements contradictoires. En effet, les appelants sont poursuivis en raison de comportements individuels, soit, en substance, pour avoir bloqué la circulation aux services d’intérêt général (art. 239 CP [Code pénal suisse du 21 décembre 1937 ; RS 311.0]), pour avoir participé à une manifestation non autorisée (art. 25 al. 1 LContr cum art. 41 RGP [Règlement général de police de la Commune de Lausanne du 27 novembre 2001]) et/ou pour avoir opposé une résistance physique aux agents de police lors de leur évacuation (art. 286 CP). Or, les appelants ne s'accusent pas mutuellement, mais reconnaissent au contraire leur participation à la manifestation, ce point n'étant pas litigieux dans le cas particulier. Il ne s'agit ainsi pas de déterminer quelle part tel ou tel manifestant aurait prise dans la commission d'une infraction dont le déroulement aurait été contesté, mais de déterminer si chacun, pris individuellement, a réalisé les éléments constitutifs de telle ou telle infraction (cf. TF 6B_655/2022 précité consid. 1.1). Mal fondées, les conclusions préalables des appelants tendant à la suspension de la procédure d’appel, respectivement à la jonction des causes, doivent être rejetées.</w:t>
      </w:r>
    </w:p>
    <w:p>
      <w:r>
        <w:rPr>
          <w:b/>
        </w:rPr>
        <w:t>E. 4.1</w:t>
      </w:r>
    </w:p>
    <w:p>
      <w:r>
        <w:t>Les appelants invoquent une violation du principe d’accusation. En substance, ils soutiennent que l’ordonnance pénale valant acte d’accusation par effet de l’opposition ne décrirait pas les faits qui leur sont spécifiquement reprochés, mais se limiterait à une description générale des circonstances de la manifestation du 14 décembre 2019.</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JdT 2017 IV 351 ; ATF 141 IV 132 consid. 3.4.1, JdT 2015 IV 258 ; TF 6B_1498/2020 du 29 novembre 2021 consid. 2.1, non publié à l’ATF 147 IV 505). Il découle du principe de l'immutabilité de l'acte d'accusation que le tribunal est lié par l'état de fait décrit dans l'acte d'accusation (TF 6B_1498/2020 du 29 novembre 2021 consid. 2.1).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du 29 novembre 2021 consid. 2.1 et les réf.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art. 356 al. 1 CPP). Selon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(TF 6B_1498/2020 du 29 novembre 2021 consid. 2.1 et les réf. citées).</w:t>
      </w:r>
    </w:p>
    <w:p>
      <w:r>
        <w:rPr>
          <w:b/>
        </w:rPr>
        <w:t>E. 4.3</w:t>
      </w:r>
    </w:p>
    <w:p>
      <w:r>
        <w:t>Comme déjà relevé, le nombre de prévenus devant répondre de faits survenus peu ou prou dans les mêmes circonstances que ceux dont il est fait grief aux appelants est élevé, s’agissant d’une action collective de vaste ampleur. Ce nonobstant, les ordonnances pénales décrivent, pour chaque prévenu, les actes incriminés, même si c’est par des termes identiques, à caractère quelque peu général. L’acte d’accusation contient ainsi les circonstances de temps et de lieu précises, et les comportements prohibés des prévenus (manifestation non autorisée, blocage de la circulation et opposition à l’évacuation par la police). La description des faits incriminés satisfait ainsi, pour chaque prévenu, aux exigences posées par l’art. 325 al. 1 let. f CPP. De plus amples développements ou précisions auraient du reste été contraires à l’exigence de brièveté consacrée par cette disposition. Dès lors, aucun des prévenus ne peut avoir de doute au sujet du comportement qui lui est reproché. Cet élément suffit à satisfaire aux exigences de la jurisprudence fédérale. Les griefs déduits de la violation du principe d’accusation tombent donc à faux.</w:t>
      </w:r>
    </w:p>
    <w:p>
      <w:r>
        <w:rPr>
          <w:b/>
        </w:rPr>
        <w:t>E. 5.1</w:t>
      </w:r>
    </w:p>
    <w:p>
      <w:r>
        <w:t>Les appelants soutiennent que leur action se serait inscrite dans une démarche de protestation protégée par la liberté de manifester et les libertés de réunion et d’expression, garanties notamment par le droit international de rang constitutionnel, de sorte qu’ils ne sauraient être sanctionnés pénalement.</w:t>
      </w:r>
    </w:p>
    <w:p>
      <w:r>
        <w:rPr>
          <w:b/>
        </w:rPr>
        <w:t>E. 5.2.1</w:t>
      </w:r>
    </w:p>
    <w:p>
      <w:r>
        <w:t>L'art. 14 CP dispose que quiconque agit comme la loi l'ordonne ou l'autorise se comporte de manière licite, même si l'acte est punissable en vertu du CP ou d'une autre loi.</w:t>
      </w:r>
    </w:p>
    <w:p>
      <w:r>
        <w:rPr>
          <w:b/>
        </w:rPr>
        <w:t>E. 5.2.2</w:t>
      </w:r>
    </w:p>
    <w:p>
      <w:r>
        <w:t>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JdT 2019 I 71 ; ATF 132 I 256 consid. 3, JdT 2007 I 327 ; TF 6B_655/2022 du 31 août 2022 consid. 4.2). L'art. 11 par. 1 CEDH (en relation avec l'art. 10 CEDH), qui consacre notamment le droit de toute personne à la liberté de réunion et à la liberté d'association, offre des garanties comparables (ATF 132 I 256 consid. 3), son exercice étant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 re phrase, CEDH ; TF 6B_655/2022 du 31 août 2022 consid. 4.2). 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 10 CEDH (arrêts CourEDH Navalnyy c. Russie du 15 novembre 2018, § 101 ; Ezelin c. France du 26 avril 1991, § 35, série A n° 202). L'art. 11 CEDH ne protège que le droit à la liberté de « réunion pacifique », notion qui ne couvre pas les manifestations dont les organisateurs et participants ont des intentions violentes (arrêts CourEDH Csiszer et Csibi c. Roumanie du 5 mai 2020, § 65 ; Yaroslav Belousov c. Russie du 4 octobre 2016, § 168 ; Stankov et Organisation macédonienne unie Ilinden c.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 Russie du 15 novembre 2018, § 145 ; Yaroslav Belousov c. Russie du 4 octobre 2016, § 168 ; Frumkin c. Russie du 5 janvier 2016, § 98 ; tous avec les réf. citées).</w:t>
      </w:r>
    </w:p>
    <w:p>
      <w:r>
        <w:rPr>
          <w:b/>
        </w:rPr>
        <w:t>E. 5.2.3</w:t>
      </w:r>
    </w:p>
    <w:p>
      <w:r>
        <w:t>supra ), l’imposition d’une sanction pour une participation à une manifestation non autorisée est compatible avec les garanties énoncées à l’art. 11 CEDH (cf. TF 6B_1295/2020 du 26 mai 2021 consid. 6). La condamnation des appelants pour contravention à la LContr en relation avec l’art. 41 RGP doit ainsi être confirmée.</w:t>
      </w:r>
    </w:p>
    <w:p>
      <w:r>
        <w:rPr>
          <w:b/>
        </w:rPr>
        <w:t>E. 5.2.4</w:t>
      </w:r>
    </w:p>
    <w:p>
      <w:r>
        <w:t>Les actions de blocage peuvent donner lieu à des condamnations pénales (TF 6B_655/2022 du 31 août 2022 consid. 4.5). Ainsi, le Tribunal fédéral a confirmé la condamnation pour contrainte (art. 181 CP), à des amendes allant de 500 fr. à 2'000 fr., des activistes climatiques qui avaient bloqué pendant 11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[GC] du 15 octobre 2015,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du 15 octobre 2015, §§ 173-174 ; voir aussi Barraco c. France du 5 mars 2009, §§ 46-47).</w:t>
      </w:r>
    </w:p>
    <w:p>
      <w:r>
        <w:rPr>
          <w:b/>
        </w:rPr>
        <w:t>E. 5.3</w:t>
      </w:r>
    </w:p>
    <w:p>
      <w:r>
        <w:t>En l’espèce, l’intention du mouvement [...] de mettre en place une action de blocage au centre-ville de Lausanne était connue des autorités et des Transports publics de la région lausannoise, notamment parce que l’appel à manifester avait été largement relayé sur les réseaux sociaux. Toutefois, aucune demande d’autorisation n’avait été déposée auprès des services compétents de la commune de Lausanne. S’agissant des courriers que les organisateurs de cette manifestation ont adressés aux Transports publics lausannois pour annoncer leur action et, par le biais de leurs avocats, poser des exigences aux autorités municipales, force est de constater qu’il s’agissait uniquement de revendications sans précision quant à la durée et aux itinéraires prévus. Les autorités ne pouvaient donc pas anticiper le déroulement de la manifestation. On rappelle que celle-ci a en l’occurrence débuté à 10h05 par le blocage de la rue [...]. A 10h10, une vingtaine de personnes équipées de gilets blancs s’est couchée à même le sol, gênant ainsi le trafic des piétons. Un blocage a également été organisé à la place [...], si bien que la police a fermé la rue [...] pour éviter que les deux groupes de manifestants se rejoignent. Ce n’est qu’à 13h15 que des injonctions ont été adressées aux manifestants par le Commandant de police. Il a été décidé que les interpellations de ceux qui ne respecteraient pas les directives débuteraient un quart d’heure plus tard, ce qui constituait un délai de tolérance supplémentaire. Au vu de ce qui précède, la liberté de manifester et les libertés de réunion et d’expression des appelants n’ont de toute évidence pas été violées. En effet, après que les manifestants ont pu se réunir et s’exprimer pendant un peu plus de trois heures, c’est à bon droit que les autorités ont commencé à les disperser afin de restaurer l’usage normal du domaine public. En outre, les policiers ont procédé à l’évacuation de manière proportionnée, sans aucun usage excessif de la force. Ils ont fait preuve de tolérance, n’intervenant qu’après plusieurs heures d’occupation. Partant, le moyen tiré d’une violation des libertés de réunion et d’expression doit être rejeté.</w:t>
      </w:r>
    </w:p>
    <w:p>
      <w:r>
        <w:rPr>
          <w:b/>
        </w:rPr>
        <w:t>E. 6.1</w:t>
      </w:r>
    </w:p>
    <w:p>
      <w:r>
        <w:t>Les appelants contestent que les troubles entraînés par la manifestation du 14 décembre 2019 aient été suffisamment longs pour qu’il en soit résulté une véritable entrave aux services d’intérêt général. Ils font par ailleurs valoir que, s’agissant d’une manifestation pacifique annoncée, les Transports publics lausannois auraient pu s’organiser en amont et qu’on ne pourrait donc pas retenir une entrave qualifiée au sens de l’art. 239 CP.</w:t>
      </w:r>
    </w:p>
    <w:p>
      <w:r>
        <w:rPr>
          <w:b/>
        </w:rPr>
        <w:t>E. 6.2</w:t>
      </w:r>
    </w:p>
    <w:p>
      <w:r>
        <w:t>A teneur de l’art. 239 ch. 1 CP, celui qui, intentionnellement, aura empêché, troublé ou mis en danger l’exploitation d’une entreprise publique de transports ou de communications, notamment celle des chemins de fer, des postes, du télégraphe ou du téléphone, ou celui qui, intentionnellement, aura empêché, troublé ou mis en danger l’exploitation d’un établissement ou d’une installation servant à distribuer au public l’eau, la lumière, l’énergie ou la chaleur, sera puni d’une peine privative de liberté de 3 ans au plus ou d’une peine pécuniaire. Constitue une entreprise publique de transport une entreprise qui est à la disposition de chacun pour le transport des personnes ou des choses (Dupuis et al. [éd.], Petit Commentaire, Code pénal, 2 e éd., Bâle 2017, n. 5 ad art. 239 CP ; Corboz, Les infractions en droit suisse, Vol. II, 3 e éd., Berne 2010, n. 6 ad art. 239 CP). La loi mentionne à titre d’exemples l’entreprise de chemin de fer, ainsi que celle des postes par le réseau de bus postaux. Il faut également ajouter les entreprises de transport par métro, par tram, par bus, par bateau, par avion ou par téléphérique (ATF 85 IV 224 consid. III/2, JdT 1960 IV 51 ; Dupuis et al. [éd.], op. cit., n. 5 ad art. 239 CP). Par ailleurs,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(ATF 119 IV 301, JdT 1995 IV 147).</w:t>
      </w:r>
    </w:p>
    <w:p>
      <w:r>
        <w:rPr>
          <w:b/>
        </w:rPr>
        <w:t>E. 6.3</w:t>
      </w:r>
    </w:p>
    <w:p>
      <w:r>
        <w:t>En l’occurrence, les organisateurs de la manifestation avaient certes annoncé aux autorités de la Ville de Lausanne et aux Transports publics de la région lausannoise que le collectif [...] avait planifié une action de blocage le 14 décembre 2019. Toutefois, cette annonce préalable ne mentionnait qu’un blocage prévu à [...]. Pour ce qui est de la rue [...], ce n’est que lorsqu’une cinquantaine de personnes sont venues bloquer la rue avec des palettes en bois et des blocs en béton que les autorités ont compris que cette artère allait être bloquée. En d’autres termes, les autorités ont été prises au dépourvu et mises devant le fait accompli. Il est pour le surplus établi que, durant la manifestation non autorisée, le trafic des Transports publics lausannois a été interrompu dès 10h55 pour toutes les lignes transitant par la place [...], ce qui a entrainé des retards de 30 à 40 minutes, jusqu’à ce que les effets de la perturbation s’estompent vers 16h00. Il est donc manifeste que la perturbation du service des Transports publics lausannois, qui s’est étendue sur plusieurs heures et a concerné en particulier toutes les lignes passant par la place [...], a atteint la durée et l’intensité nécessaire pour réaliser les éléments constitutifs objectifs de l’art. 239 CP. Une ambulance a également été ralentie en raison de cette manifestation. Les appelants, qui se sont accommodés de cette situation, se sont par conséquent rendus coupables d’entrave aux services d’intérêt général. Leur condamnation pour cette infraction doit donc être confirmée.</w:t>
      </w:r>
    </w:p>
    <w:p>
      <w:r>
        <w:rPr>
          <w:b/>
        </w:rPr>
        <w:t>E. 7.1</w:t>
      </w:r>
    </w:p>
    <w:p>
      <w:r>
        <w:t>Les appelants contestent avoir violé l’art. 41 RGP. Ils relèvent en bref qu’ils étaient de simples participants à la manifestation et que seuls les organisateurs seraient punissables.</w:t>
      </w:r>
    </w:p>
    <w:p>
      <w:r>
        <w:rPr>
          <w:b/>
        </w:rPr>
        <w:t>E. 7.2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w:t>
      </w:r>
    </w:p>
    <w:p>
      <w:r>
        <w:rPr>
          <w:b/>
        </w:rPr>
        <w:t>E. 7.3</w:t>
      </w:r>
    </w:p>
    <w:p>
      <w:r>
        <w:t>Comme on l’a vu ci-dessus (cf. consid. 5.3 supra ), si la manifestation du 14 décembre 2019 avait été annoncée pour se tenir à [...], elle n’avait pas fait l’objet d’une demande d’autorisation. Les appelants ayant admis avoir participé à cette manifestation, sans avoir cherché à savoir si celle-ci était ou non autorisée dès lors qu’ils estimaient user légitimement de leur droit fondamental de manifester, ils ont ainsi accepté de prendre part à une manifestation illégale, faute d’autorisation. Peu importe du reste qu’ils n’aient pas pris part à l’organisation de la manifestation, puisque, comme on l’a vu ci-dessus (cf. consid.</w:t>
      </w:r>
    </w:p>
    <w:p>
      <w:r>
        <w:rPr>
          <w:b/>
        </w:rPr>
        <w:t>E. 8</w:t>
      </w:r>
    </w:p>
    <w:p>
      <w:r>
        <w:t>LContr,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rPr>
          <w:b/>
        </w:rPr>
        <w:t>E. 8.1</w:t>
      </w:r>
    </w:p>
    <w:p>
      <w:r>
        <w:t>L’appelant L.________ conteste s’être rendu coupable d’empêchement d’accomplir un acte officiel. Il fait valoir qu’il n’aurait opposé aucune résistance à son interpellation.</w:t>
      </w:r>
    </w:p>
    <w:p>
      <w:r>
        <w:rPr>
          <w:b/>
        </w:rPr>
        <w:t>E. 8.2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 citées). Il n'est en revanche pas nécessaire que l'auteur parvienne à éviter effectivement l'accomplissement de l'acte officiel ; il suffit qu'il le rende plus difficile, l'entrave ou le diffère (ATF 127 IV 115 consid. 2 ; ATF 124 IV 127 consid. 3a, JdT 1998 I 777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et les réf. citées) qui est réalisée, par exemple, par le fait de prendre la fuite (ATF 120 IV 136 consid. 2a et les réf.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 Corboz, op. cit., n. 13 ad art. 286 CP).</w:t>
      </w:r>
    </w:p>
    <w:p>
      <w:r>
        <w:rPr>
          <w:b/>
        </w:rPr>
        <w:t>E. 8.3</w:t>
      </w:r>
    </w:p>
    <w:p>
      <w:r>
        <w:t>En l’espèce, l’appelant L.________ a participé à une formation dite « en tortue », ce qui consiste en une action de sit-in comprenant six à huit individus, lesquels s’asseyent en rond et s’entremêlent les jambes, les pieds, les bras et les mains, l’objectif recherché étant de complexifier la manœuvre des forces de l’ordre dès lors qu’il est impossible d’agir sur une seule personne pour la réduire, mais qu’il faut au contraire agir de manière coordonnée et minutieuse sur l’ensemble des individus formant la tortue (P. 4/1). Le fait que L.________ ait interrompu son action de son propre chef et qu’il n’ait pas opposé de résistance à l’intervention de la police n’y change rien, la seule participation à une « tortue » réalisant les éléments constitutifs objectifs de l’art. 286 CP. Le prévenu ayant délibérément adopté ce comportement, sa condamnation pour empêchement d’accomplir un acte officiel doit être confirmée.</w:t>
      </w:r>
    </w:p>
    <w:p>
      <w:r>
        <w:rPr>
          <w:b/>
        </w:rPr>
        <w:t>E. 9</w:t>
      </w:r>
    </w:p>
    <w:p>
      <w:r>
        <w:t>L’appelant V.________ conclut à la réforme du jugement en ce sens que la libération dont il a bénéficié à raison du chef de prévention de contravention à l’art. 26 RGP doit « faire partie du dispositif » . Il soutient que le dispositif du jugement serait incomplet, soit entaché d’une erreur de plume, faute de mentionner cette libération. Le chiffre X du dispositif ne mentionne certes pas cette libération ; son chiffre XI ne comporte qu’une référence à la contravention à la LContr, sans renvoi à une norme pénale spéciale. Il ressort pourtant du préambule du dispositif que l’art. 25 al. 1 LContr n’est appliqué qu’en relation avec l’art. 41 RGP, à l’exclusion de l’art. 26 RGP, ce que confirment du reste les motifs du jugement (pp. 29-30).</w:t>
      </w:r>
    </w:p>
    <w:p>
      <w:r>
        <w:rPr>
          <w:b/>
        </w:rPr>
        <w:t>E. 10.1</w:t>
      </w:r>
    </w:p>
    <w:p>
      <w:r>
        <w:t>L’appelant L.________ se prévaut enfin d’une violation du principe de célérité, faisant valoir que la durée écoulée entre la réception du dossier par le greffe pénal de première instance et la fixation de l’audience serait excessive au regard des exigences jurisprudentielles.</w:t>
      </w:r>
    </w:p>
    <w:p>
      <w:r>
        <w:rPr>
          <w:b/>
        </w:rPr>
        <w:t>E. 10.2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JdT 2016 IV 146 ; ATF 130 I 312 consid. 5.1). La violation du principe de célérité peut avoir pour conséquence la diminution de la peine, parfois l'exemption de toute peine ou encore une ordonnance de classement en tant qu' ultima ratio dans les cas les plus extrêmes (ATF 143 IV 373 consid. 1.4.1 ; ATF 135 IV 12 consid 3.6, JdT 2010 IV 139 ; TF 6B_203/2019 du 10 avril 2019 consid. 3.1). Il incombe au juge d'indiquer comment et dans quelle mesure il a tenu compte de cette circonstance (ATF 117 IV 124 consid. 3 et 4, JdT 1993 IV 189 ; TF 6B_556/2017 du</w:t>
      </w:r>
    </w:p>
    <w:p>
      <w:r>
        <w:rPr>
          <w:b/>
        </w:rPr>
        <w:t>E. 10.3</w:t>
      </w:r>
    </w:p>
    <w:p>
      <w:r>
        <w:t>L.________ a été condamné par ordonnance pénale du 9 janvier 2020. Il a formé opposition contre cette ordonnance le 17 janvier 2020. Le Tribunal de police a reçu le dossier de la cause le 14 février 2020 et les débats ont été fixés le 17 novembre 2021, soit environ 21 mois plus tard. Cette situation s’explique par le fait que le Tribunal d’arrondissement de Lausanne a reçu, dans un bref laps de temps, plusieurs dizaines de causes analogues présentant des questions juridiques complexes concernant l’état de nécessité et les droits constitutionnels des manifestants. Ces causes devant être traitées de manière identique sur un plan juridique, ce dont se prévalent d’ailleurs les appelants, elles ont attendu le premier arrêt de principe du Tribunal fédéral rendu le 26 mai 2021 (ATF 147 IV 297). Ensuite, des décisions d’organisation ont été prises pour traiter les nombreuses requêtes de jonction des prévenus et la manière dont il fallait regrouper certaines causes, par manifestation. Ainsi, l’attente était justifiée et il n’y a pas eu de violation du principe de célérité. La Cour de céans relève que, même à considérer que le laps de temps qui s’est écoulé entre la saisine du tribunal et l’ouverture des débats de première instance serait excessif, cela ne saurait conduire à une réduction de peine. En effet, elle estime, en se fondant sur les critères de l’art. 47 CP, que l’entrave aux services d’intérêt général, qui constitue l’infraction de base retenue à la charge de L.________, aurait dû être punie d’une peine pécuniaire de 20 jours-amende, puis augmentée, par l’effet du concours (cf. art. 49 al. 1 CP), de 10 jours-amende pour l’empêchement d’accomplir un acte officiel. La peine pécuniaire de 20 jours-amende prononcée en première instance tient donc en réalité déjà compte de la violation du principe de célérité, par une réduction de peine d’un tiers. 11. 11.1 A titre subsidiaire, les appelants concluent à une exemption de toute peine, motif pris de l’absence d’intérêt à punir, et se prévalent, à défaut, du mobile honorable. 11.2 11.2.1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Il ne s’agit pas en effet d’annuler par une disposition générale toutes les peines mineures prévues par la loi pénale (ATF 146 IV 297 consid. 2.3, JdT 2021 IV 53 ; TF 6B_1295/2020 du 26 mai 2021 consid. 7).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 11.2.2 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 citées ; TF 6B_713/2018 du 21 novembre 2018 consid. 5.4). Lorsque le mobile honorable est sans aucun rapport avec l’infraction, il ne se justifie pas d’atténuer la peine (ATF 118 IV 74 consid. 2a, JdT 1994 IV 89 ; ATF 115 IV 65 consid. 2b, JdT 1990 IV 69). 11.3 Dans le cas présent, les appelants ont assurément agi pour défendre une cause idéale, comme l’a relevé le tribunal de première instance (jugement, p. 31).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militants s’y emploient. La manière d’agir des prévenus consistant à ne pas obtempérer aux sommations des forces de l’ordre a toutefois pour effet de reléguer à l'arrière-plan leur mobile, aussi respectable fût-il, si bien que l’art. 48 let. a CP ne saurait s’appliquer (cf. not. CAPE 11 novembre 2022/359 consid. 15.3.1 et les arrêts cités ; CAPE 17 juin 2021/185 consid. 6.1.3.1). Les conditions de l'art. 52 CP ne sont pas non plus réunies. En effet, les comportements incriminés n'ont pas été sans conséquence pour les très nombreuses personnes gênées par cette manifestation de vaste ampleur qui a fortement perturbé, durant plusieurs heures, le trafic et les déplacements sur les principaux axes de circulation de la capitale vaudoise. On ne saurait dès lors considérer qu'il s'agit d'une affaire d'une importance négligeable au sens de l’art. 52 CP (cf. CAPE 11 novembre 2022/359 consid. 15.3.2 et les arrêts cités ; CAPE 24 janvier 2022/48 consid. 5.2, concernant des faits analogues). 12. Pour le surplus, la quotité des peines prononcées n’est pas contestée en tant que telle. Vérifiées d’office, celles-ci – modérées dans leur quotité (cf. consid. 10.3 supra ) – sont adéquates et peuvent être confirmées par adoption de motifs (cf. art. 82 al. 4 CPP ; jugement, pp. 31-33). 13. En définitive, les appels de L.________ et de V.________ doivent être rejetés et le jugement contesté intégralement confirmé. Vu l’issue de la cause, les frais d’appel antérieurs à l’arrêt du Tribunal fédéral du 21 juillet 2022, par 2'750 fr., seront mis par moitié, soit par 1'375 fr., à la charge de chacun des appelants (cf. art. 418 al. 1 et 428 al. 1, 1 re phrase, CPP). Les frais d'appel postérieurs à l’arrêt du Tribunal fédéral, constitués des émoluments d’audience et de jugement, par 3'700 fr. (art. 21 al. 1 et 2 TFIP [Tarif des frais de procédure et indemnités en matière pénale du 28 septembre 2010 ; BLV 312.03.1]) seront pour leur part laissés à la charge de l'Etat.</w:t>
      </w:r>
    </w:p>
    <w:p>
      <w:r>
        <w:rPr>
          <w:b/>
        </w:rPr>
        <w:t>E. 15</w:t>
      </w:r>
    </w:p>
    <w:p>
      <w:r>
        <w:t>mars 2018 consid. 3.1 ; TF 6B_790/2017 du 18 décembre 2017 consid. 2.3.2 ; TF 6B_728/2010 du 1 er mars 2011 consid. 5.5.1).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