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112 vom 22. November 2022</w:t>
      </w:r>
    </w:p>
    <w:p>
      <w:r>
        <w:t>VD Tribunal cantonal, 2022-11-22, FR</w:t>
      </w:r>
    </w:p>
    <w:p>
      <w:r>
        <w:rPr>
          <w:b/>
        </w:rPr>
        <w:t xml:space="preserve">Quelle: </w:t>
      </w:r>
      <w:r>
        <w:t>https://mcp.opencaselaw.ch/entscheid/vd_findinfo_Jug___2023___112</w:t>
      </w:r>
    </w:p>
    <w:p>
      <w:r>
        <w:t>FR: VD_FINDINFO Jug / 2023 / 112 du 22 novembre 2022</w:t>
      </w:r>
    </w:p>
    <w:p>
      <w:r>
        <w:t>IT: VD_FINDINFO Jug / 2023 / 112 del 22 novembre 2022</w:t>
      </w:r>
    </w:p>
    <w:p>
      <w:pPr>
        <w:pStyle w:val="Heading2"/>
      </w:pPr>
      <w:r>
        <w:t>Regeste</w:t>
      </w:r>
    </w:p>
    <w:p>
      <w:r>
        <w:t>AUTORISATION OU APPROBATION{EN GÉNÉRAL}, PLAINTE PÉNALE, PERSONNE AUTORISÉE À SIGNER, APPRÉCIATION DES PREUVES, LIBERTÉ DE MANIFESTATION, MANIFESTATION, INFRACTIONS CONTRE L'AUTORITÉ PUBLIQUE, FIXATION DE LA PEINE, EXEMPTION DE PEINE, ENTRAVE AUX SERVICES D'INTÉRÊT GÉNÉRAL | 10 CEDH, 11 CEDH, 239 CP, 286 CP, 30 CP, 47 CP, 52 CP, 389 CPP (CH), 403 al. 1 let. c CPP (CH), 41 RGP</w:t>
      </w:r>
    </w:p>
    <w:p>
      <w:pPr>
        <w:pStyle w:val="Heading2"/>
      </w:pPr>
      <w:r>
        <w:t>Erwägungen</w:t>
      </w:r>
    </w:p>
    <w:p>
      <w:r>
        <w:rPr>
          <w:b/>
        </w:rPr>
        <w:t>E. 1.1</w:t>
      </w:r>
    </w:p>
    <w:p>
      <w:r>
        <w:t>Les appelants par voie de jonction ont déposé une demande de non-entrée en matière sur l’appel du Ministère public, soutenant qu’il faudrait constater d’emblée l’existence d’un empêchement de procéder au sens de l’art. 403 al. 1 let. c CPP dès lors que la plainte déposée par E.________ Switzerland AG ne serait pas valable. Ils allèguent que Q.________, seul signataire de cette plainte, n’aurait pas été habilité à déposer plainte au nom de la banque. Cela ne découlerait ni du registre du commerce ni de ses fonctions, puisqu’il avait déclaré à la police que le dossier serait transmis au service juridique de la société. Une porte-parole de celle-ci aurait en outre déclaré à la presse que «° E.________ n’était pas encore en mesure de dire si elle porterait plainte ou non ». Ce ne serait que le 10 novembre 2021 que deux personnes titulaires de la signature collective à deux auraient indiqué au nom de E.________ Switzerland AG que celle-ci maintenait la plainte, soit bien après l’échéance du délai de l’art. 31 CP. Les appelants par voie de jonction ajoutent qu’E.________ Switzerland AG ne serait pas la personne lésée au sens de l’art. 30 al. 1 CP, dans la mesure où les locaux dans lesquels ils ont tenu leur manifestation appartiendraient à la société E.________ SA et non à E.________ Switzerland AG. A cet égard, ils se prévalent du fait que la facture de nettoyage produite pour établir le dommage subi par la banque est libellée au nom de E.________ SA, qu’elle décrit le lieu d’intervention comme « E.________ SA [...]», qu’elle aurait été acquittée par la comptabilité de E.________ SA à Zurich et que dans un courrier du 24 février 2021, E.________ SA a parlé des locaux en question comme s’il s’agissait des siens (« notre bâtiment », « notre établissement », P. 10/1).</w:t>
      </w:r>
    </w:p>
    <w:p>
      <w:r>
        <w:rPr>
          <w:b/>
        </w:rPr>
        <w:t>E. 1.2</w:t>
      </w:r>
    </w:p>
    <w:p>
      <w:r>
        <w:t>Aux termes de l’art. 403 al. 1 let. c CPP, la juridiction d’appel rend par écrit sa décision sur la recevabilité de l’appel lorsque la direction de la procédure ou une partie fait valoir que les conditions à l’ouverture de l’action pénale ne sont pas réunies ou qu’il existe un empêchement de procéder.</w:t>
      </w:r>
    </w:p>
    <w:p>
      <w:r>
        <w:rPr>
          <w:b/>
        </w:rPr>
        <w:t>E. 1.3</w:t>
      </w:r>
    </w:p>
    <w:p>
      <w:r>
        <w:t>En l’espèce, la question de la validité de la plainte déposée par E.________ Switzerland AG se trouve être précisément la question de fond posée par le Ministère public dans le cadre de son appel. En d’autres termes, la question de l’existence d’un empêchement de procéder se confond avec le grief soulevé par l’appel principal. Dans ces circonstances, il faut entrer en matière sur ce dernier. Pour le surplus, l’appel du Ministère public, comme les appels par voie de jonction, ont été interjetés dans les formes et délais légaux (art. 399 et 400 al. 3 let. b CPP) par des parties ayant la qualité pour recourir contre le jugement d'un tribunal de première instance qui a clos la procédure (art. 398 al. 1 CPP), de sorte qu’ils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Eugster, in : Niggli/Heer/Wiprächtiger [éd.], Basler Kommentar, Schweizerische Strafprozessordnung, Jugendstrafprozessordnung, 2 e éd., Bâle 2014, n. 1 ad art. 398 CPP).</w:t>
      </w:r>
    </w:p>
    <w:p>
      <w:r>
        <w:rPr>
          <w:b/>
        </w:rPr>
        <w:t>E. 3.1</w:t>
      </w:r>
    </w:p>
    <w:p>
      <w:r>
        <w:t>Le Ministère public soutient que la plainte pénale déposée le 14 janvier 2020 par Q.________ devrait être considérée comme valable et que le premier juge aurait fait preuve de formalisme excessif en exigeant que celle-ci soit signée ou ratifiée par des personnes au bénéfice du pouvoir de signature pour engager E.________ Switzerland AG. Se référant à l’arrêt du Tribunal fédéral 6B_295/2020 du 22 juillet 2020, il fait valoir que pour les personnes morales, toutes les personnes chargées, expressément ou par actes concluants, de protéger les intérêts de celle-ci, respectivement de gérer son patrimoine, sont autorisées à déposer plainte, par représentation, pour des infractions commises contre le patrimoine de la société. Est déterminant le fait que le dépôt de plainte ne contredise pas la volonté des organes de la société et puisse être autorisé par ceux-ci. L’appelant estime ainsi que dans la mesure où Q.________ était à l'époque directeur régional de la société plaignante, il était habilité à déposer plainte au nom de celle-ci, par représentation, puisqu’il était chargé de protéger ses intérêts respectivement de gérer son patrimoine et que le dépôt de plainte était conforme à la volonté de son conseil d'administration.</w:t>
      </w:r>
    </w:p>
    <w:p>
      <w:r>
        <w:rPr>
          <w:b/>
        </w:rPr>
        <w:t>E. 3.2.1</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Lorsque le lésé est une personne morale, la qualité pour déposer plainte découle de la structure interne de celle-ci (ATF 118 IV 167 consid. lb). Il s'agit en principe de l'organe qui a pour mission de veiller sur les intérêts lésés par l'infraction et dont les pouvoirs sont mentionnés au registre du commerce. Toutefois, lorsqu'il y a lieu de sauvegarder les intérêts commerciaux d'une entreprise, un mandataire commercial au bénéfice d'une procuration générale au sens de l'art. 462 CO peut déposer plainte sans décision préalable du conseil d'administration pour autant que cela ne soit pas contraire à la volonté de celui-ci (ibidem).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(TF 6B_139/2021 du 9 juin 2021 consid. 3.1 et les références citées).</w:t>
      </w:r>
    </w:p>
    <w:p>
      <w:r>
        <w:rPr>
          <w:b/>
        </w:rPr>
        <w:t>E. 3.2.2</w:t>
      </w:r>
    </w:p>
    <w:p>
      <w:r>
        <w:t>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 ATF 112 IV 31 consid. 3).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112 IV 33 consid. 3a ; ATF 83 IV 156 consid. 1).</w:t>
      </w:r>
    </w:p>
    <w:p>
      <w:r>
        <w:rPr>
          <w:b/>
        </w:rPr>
        <w:t>E. 3.3</w:t>
      </w:r>
    </w:p>
    <w:p>
      <w:r>
        <w:t>Il faut constater d'emblée que le Ministère public n’a pas contesté l’appréciation du premier juge qui a retenu que les dommages à la propriété reprochés aux prévenus n’avaient pas été causés à l'occasion d'un attroupement formé en public et qu’ils n’étaient par conséquent pas poursuivables d’office (cf. art. 144 al. 2 CP). Pour condamner les prévenus pour dommages à la propriété au sens de l’art. 144 al. 1 CP, il faut donc une plainte, tout comme pour l'infraction de violation de domicile au sens de l’art. 186 CP. En l’occurrence, la plainte déposée le 14 janvier 2020 a été signée par Q.________, qui est inscrit au registre du commerce en qualité de représentant de la société E.________ Switzerland AG. Aux débats d’appel, E.________ Switzerland AG, par la voix de son représentant L.________, a indiqué que Q.________ était le responsable de la banque pour la Suisse romande et que le dépôt de plainte pour le compte de la société entrait dans ses attributions. Il ressort toutefois du registre du commerce que ce n’est que par une signature collective à deux que Q.________ pouvait engager la société, ce que l'appelant ne conteste pas. Celui-ci ne conteste pas non plus que le dépôt de plainte n'a pas été ratifié par E.________ Switzerland AG dans le délai de trois mois. Le dossier ne contient en effet aucune ratification hormis éventuellement celle par actes concluants que pourrait constituer le courrier adressé le 6 juillet 2020 par E.________ Switzerland AG et signé par deux conseillers juridiques pour chiffrer son préjudice financier (P. 6/1 du dossier directeur). Ce courrier a cependant été adressé à l'autorité de poursuite pénale après l'échéance du délai de trois mois. A l’instar du premier juge, force est donc de constater que la plainte a été déposée par une personne qui n’avait pas les pouvoirs d'engager la société par sa signature individuelle et qu’à défaut d’avoir été ratifiée dans le délai légal de trois mois, elle n’est pas valable. L'appelant semble confondre le droit de déposer plainte pour autrui – ce qui ne saurait être dénié à Q.________ en tant que directeur régional inscrit au registre du commerce chargé de veiller aux intérêts de E.________ Switzerland AG – et la nécessaire ratification ultérieure de cette plainte par les organes de la société, dans la mesure où la seule signature de Q.________ ne suffisait pas à engager celle-ci. Partant, l’appel du Ministère public doit être rejeté. Appels par voie de jonction</w:t>
      </w:r>
    </w:p>
    <w:p>
      <w:r>
        <w:rPr>
          <w:b/>
        </w:rPr>
        <w:t>E. 4.1</w:t>
      </w:r>
    </w:p>
    <w:p>
      <w:r>
        <w:t>Les appelants par voie de jonction ont requis, de façon identique, plusieurs mesures d’instruction qu’ils ont réitérées aux débats d’appel. A cette occasion, ils ont en outre requis, à titre subsidiaire, dans l’éventualité où la requête tendant à l’audition de Q.________ serait rejetée, que le procès-verbal de l’audition-plainte de celui-ci (PV aud. 1) soit retranché du dossier.</w:t>
      </w:r>
    </w:p>
    <w:p>
      <w:r>
        <w:rPr>
          <w:b/>
        </w:rPr>
        <w:t>E. 4.2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6B_238/2020 du 14 décembre 2020 consid. 3.2 ; TF 6B_481/2020 du 17 juillet 2020 consid. 1.2 ; TF 6B_217/2019 du 4 avril 2019 consid. 3.1). Selon l’art. 398 al. 3 CPP, l’appel peut être formé pour violation du droit, y compris l’excès et l’abus du pouvoir d’appréciation, le déni de justice et le retard injustifié (let. a), constatation incomplète ou erronée des faits (let. b) et/ou inopportunité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4.3.1</w:t>
      </w:r>
    </w:p>
    <w:p>
      <w:r>
        <w:t>Les prévenus requièrent l’audition de D.________, W.________ et B.P.________ afin de renseigner la Cour sur la capacité des êtres humains à changer leurs comportements pour lutter contre le dérèglement climatique, sur l’impact de la manifestation du 14 janvier 2020 ainsi que sur l’impact négatif des investissements de la place financière suisse dans les énergies fossiles sur le climat (cf. P. 80). Ces éléments ne sont toutefois pas pertinents pour l’instruction des appels joints. Le fait que les établissements bancaires dirigent une part des fonds investis dans les énergies fossiles est notoire, tout comme l'urgence climatique (cf. CAPE 31 janvier 2022/95 consid. 4 ; CAPE 28 septembre 2020/130 consid. 5.3 ; CAPE 22 septembre 2020/371 consid. 6.3).</w:t>
      </w:r>
    </w:p>
    <w:p>
      <w:r>
        <w:rPr>
          <w:b/>
        </w:rPr>
        <w:t>E. 4.3.2.1</w:t>
      </w:r>
    </w:p>
    <w:p>
      <w:r>
        <w:t>Les prévenus requièrent une nouvelle audition de Q.________. Le décrivant comme le « prétendu auteur de l’injonction » qui leur aurait été faite de quitter les lieux, les prévenus semblent contester avoir reçu un tel ordre de sa part. Dans son courrier du 16 août 2022, A.P.________ a également indiqué que Q.________ serait à même de donner des éléments à la Cour démontrant que la plainte de E.________ Switzerland AG n’était pas valable et de la renseigner sur l’absence de dommages, l’absence de blocage de l’accès aux guichets de E.________ Switzerland AG ainsi que l’absence de trouble à l’ordre et à la tranquillité publics. Aux débats d’appel, les prévenus ont plaidé également que leur présence aurait été tolérée par les employés de la banque. En l’occurrence, il est établi que les prévenus ont été priés de quitter les lieux et qu’ils ne se sont pas conformés à cette injonction immédiatement. Cela ressort notamment des déclarations d’A.________, qui a indiqué au premier juge que « ces derniers [ndr : les employés de E.________ Switzerland AG] préféraient que nous partions plutôt que de nettoyer » (jugement entrepris, p. 7), de la plainte de Q.________, qui démontre son désaccord avec le comportement des prévenus, et le rapport de police, qui relate, d’une part, que Q.________ a négocié en vain avec les manifestants pour qu'ils quittent les lieux et, d’autre part, que ceux-ci n’ont pas respecté l’ultimatum fixé à 16 h 00 qui leur avait été signifié (P. 4 du dossier directeur). Une nouvelle audition de Q.________ n’apparaît ainsi pas nécessaire.</w:t>
      </w:r>
    </w:p>
    <w:p>
      <w:r>
        <w:rPr>
          <w:b/>
        </w:rPr>
        <w:t>E. 4.3.2.2</w:t>
      </w:r>
    </w:p>
    <w:p>
      <w:r>
        <w:t>A titre subsidiaire, les prévenus ont requis aux débats d’appel le retranchement du procès-verbal d’audition de Q.________ au motif que leur droit d’être confrontés à leur accusateur et de pouvoir lui poser des questions aurait été violé. Ils estiment que puisqu’ils n’étaient pas présents lorsque Q.________ a été entendu, le procès-verbal de son audition ne serait pas exploitable. Cette requête doit être rejetée. D’une part, il s’agit de l’audition au terme de laquelle l’intéressé a déposé plainte au nom de E.________ Switzerland AG. D’autre part, la répétition de l’audition de Q.________ n’apparaît pas nécessaire pour les motifs retenus ci-dessus, de sorte que rien ne s’oppose au maintien au dossier du procès-verbal litigieux.</w:t>
      </w:r>
    </w:p>
    <w:p>
      <w:r>
        <w:rPr>
          <w:b/>
        </w:rPr>
        <w:t>E. 4.3.3</w:t>
      </w:r>
    </w:p>
    <w:p>
      <w:r>
        <w:t>Les prévenus requièrent l’audition d’employés de l’entreprise U.________ mandatée pour nettoyer les locaux de la banque après leur manifestation afin de démontrer l’absence de dommages. Une telle mesure d’instruction n’apparaît pas nécessaire, dès lors qu’il n’est pas contesté que des « galets » de charbon ont été déversés dans les locaux de E.________ Switzerland AG.</w:t>
      </w:r>
    </w:p>
    <w:p>
      <w:r>
        <w:rPr>
          <w:b/>
        </w:rPr>
        <w:t>E. 4.3.4</w:t>
      </w:r>
    </w:p>
    <w:p>
      <w:r>
        <w:t>Les prévenus requièrent l’audition de G.________ et de X.________, cosignataires de la lettre adressée le 24 février 2021 par E.________ SA au Ministère public (P. 10/1 du dossier directeur), afin de fournir des éléments sur la validité de la plainte. Il s’agit toutefois d’une question de droit qui ne nécessite pas que ces témoins soient entendus pour être résolue.</w:t>
      </w:r>
    </w:p>
    <w:p>
      <w:r>
        <w:rPr>
          <w:b/>
        </w:rPr>
        <w:t>E. 4.3.5</w:t>
      </w:r>
    </w:p>
    <w:p>
      <w:r>
        <w:t>Les prévenus requièrent enfin la comparution personnelle de E.________ Switzerland AG. En l’occurrence, L.________, conseiller juridique de E.________ Switzerland AG s’est présenté aux débats d’appel au nom de celle-ci.</w:t>
      </w:r>
    </w:p>
    <w:p>
      <w:r>
        <w:rPr>
          <w:b/>
        </w:rPr>
        <w:t>E. 4.4</w:t>
      </w:r>
    </w:p>
    <w:p>
      <w:r>
        <w:t>En définitive, aucune des mesures d’instruction requises n’apparaît nécessaire au traitement des appels par voie de jonction.</w:t>
      </w:r>
    </w:p>
    <w:p>
      <w:r>
        <w:rPr>
          <w:b/>
        </w:rPr>
        <w:t>E. 5.1</w:t>
      </w:r>
    </w:p>
    <w:p>
      <w:r>
        <w:t>Les appelants par voie de jonction, dont les moyens de défense sont identiques, contestent leur condamnation pour contravention à la loi vaudoise sur les contraventions (LContr ; BLV 312.11) en relation avec l’art. 41 RGP s’agissant de la manifestation à laquelle ils ont pris part dans les locaux de E.________ Switzerland AG le 14 janvier 2020. En substance, ils soutiennent que l’art. 41 RGP ne constituerait pas une base légale suffisante pour les condamner, notamment sous l'angle de l'art. 7 CEDH (Convention de sauvegarde des droits de l’homme et des libertés fondamentales du 4 novembre 1950 ; RS 0.101). Il serait manifeste que « les autorités cantonales n’ont pas le pouvoir, à elles seules, d’autoriser une manifestation dans les locaux d’E.________ SA à laquelle celle-ci, par hypothèse, se serait opposée ». A cela s’ajoute que les employés de la banque auraient toléré la présence des prévenus jusqu’à ce qu’ils leur aient prétendument demandé de quitter les lieux après plusieurs heures. L’art. 41 RGP ne s’appliquerait en outre qu’aux organisateurs de la manifestation et les ordonnances pénales tenant lieu d’actes d’accusation ne retiendraient pas que les prévenus aient organisé quoi que ce soit. L’art. 41 RGP ne comporterait pas la moindre indication laissant entendre que sa violation serait érigée en infraction pénale. Enfin, le comportement des prévenus relèverait de l’exercice pacifique de la liberté de réunion au sens de l’art. 11 CEDH, de sorte leur comportement ne pourrait faire l’objet d’aucune sanction pénale.</w:t>
      </w:r>
    </w:p>
    <w:p>
      <w:r>
        <w:rPr>
          <w:b/>
        </w:rPr>
        <w:t>E. 5.2.1</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w:t>
      </w:r>
    </w:p>
    <w:p>
      <w:r>
        <w:rPr>
          <w:b/>
        </w:rPr>
        <w:t>E. 5.2.2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du 31 août 2022 consid. 4.2). L’art. 11 § 1 CEDH (en relation avec l’art.</w:t>
      </w:r>
    </w:p>
    <w:p>
      <w:r>
        <w:rPr>
          <w:b/>
        </w:rPr>
        <w:t>E. 5.3</w:t>
      </w:r>
    </w:p>
    <w:p>
      <w:r>
        <w:t>En l’espèce, le rassemblement mis en place par les prévenus constitue une manifestation privée organisée dans un lieu ouvert au public au sens de l'art. 41 RGP. En tant que tel, il était soumis à une autorisation préalable de la Direction chargée du maintien de la sécurité et de l'ordre public de la Ville de Lausanne. Or, cette autorisation n'a pas été requise, ni, a fortiori, été délivrée. La manifestation n'était donc pas autorisée (cf. CAPE 22 septembre 2020/371). On relèvera que le Tribunal fédéral a retenu dans une affaire similaire que les manifestants qui s’étaient introduits dans la succursale d’un établissement bancaire n’étaient en rien habilités à se prévaloir des art. 10 et 11 CEDH dès lors qu’il s’agissait d’un espace purement privatif même s’il était accessible au public (ATF 147 IV 297 consid. 3.2). Dans la même affaire, s’agissant en particulier de l’application de l’art. 41 RGP, le Tribunal fédéral a considéré qu’il n’était en principe pas contraire à l'esprit de l'art. 11 CEDH que pour des raisons d'ordre public et de sécurité nationale une Haute Partie contractante puisse soumettre à autorisation préalable la tenue de réunions. Les États étant en droit d'exiger une autorisation, ils devaient pouvoir sanctionner ceux qui participaient à une manifestation ne satisfaisant pas à cette condition. Un système d'autorisation deviendrait illusoire si l'art. 11 CEDH devait interdire les sanctions pour défaut d'autorisation. Selon notre Haute Cour, l'imposition d'une sanction pour participation à une manifestation non autorisée est donc réputée compatible avec les garanties énoncées par l'art. 11 CEDH (TF 6B_1295/2020 du 26 mai 2021 consid. 6 non publié à l’ATF 147 IV 297). Les prévenus ne sont donc pas fondés à se prévaloir des art. 10 et 11 CEDH. Rien ne permet ensuite de considérer que tel que formulé, l'art. 41 RGP ne concernerait que les organisateurs de la manifestation. Au vu des circonstances, les prévenus ne pouvaient par ailleurs pas ignorer que leur manifestation n’était pas autorisée. O.________ a au demeurant lui-même indiqué devant le premier juge qu’il était « logique » qu’il ne s’agissait pas d’une manifestation autorisée. Enfin, on ne discerne pas davantage une violation de la maxime d'accusation. Toutes les ordonnances pénales, dans leur partie fait, indiquent que les manifestants, dont les prévenus, n'avaient pas obtenu d'autorisation. Elles mentionnent qu’ils ont pénétré dans les locaux de la banque et l'on comprend que ceux-ci sont ouverts au public. Dans leur partie droit, les ordonnances pénales mentionnent les art. 25 al. 1 LContr et 41 RGP et l'on comprend que l'art. 25 LContr, qui est une loi cadre, s'applique en raison de la violation de l'art. 41 RGP. Le comportement de tous les prévenus réalise donc les éléments constitutifs de la contravention prévue à l'art. 41 RGP en lien avec l'art. 18 RGP. Partant, la condamnation d’O.________, A.________, M.________, B.________, K.________, A.P.________ et J.________ pour contravention à la loi vaudoise sur les contraventions doit être confirmée. 6. 6.1 J.________ conteste également sa condamnation pour avoir participé à la manifestation non autorisée qui s’est déroulée le 14 décembre 2019, à Lausanne, à la rue Centrale. En substance, elle invoque une erreur excusable, affirmant qu’elle pensait qu’il s’agissait d’une manifestation autorisée, qu’elle n’aurait pas entendu les ordres d’évacuation de la police et que si elle s’était assise sur la chaussée, ce serait dans l’attente de pouvoir sortir du périmètre fermé par la police. Elle conteste également que les conditions des art. 239 ch. 1 et 286 CP soient remplies. D’une part, la durée de l’entrave qui lui est reprochée ne serait pas suffisamment longue, puisqu’elle serait restée sur les lieux moins d’une heure et demie. D’autre part, elle n’aurait pas fait preuve d’une attitude oppositionnelle avec l’intensité requise par l’art. 286 CP. Elle n’aurait pas résisté activement aux manœuvres des policiers et aucune photo d’elle démontrant le contraire ne figurerait au dossier. Son comportement relèverait tout au plus d’un simple refus d’obtempérer au sens du droit cantonal, soit de l’art. 29 RGP, dont la sanction est une amende. La prévenue conteste également l’application de l’art. 41 RGP, se référant aux arguments qu’elle a développés s’agissant de la manifestation du 14 janvier 2020. Enfin, dans la mesure où elle exerçait son droit à la liberté de réunion pacifique, son comportement ne pourrait pas faire l’objet d’une sanction pénale. 6.2 6.2.1 A la jurisprudence relative à la liberté d’expression et de réunion mentionnée au considérant 5.2.2 ci-dessus, on peut ajouter celle-ci s’agissant des actions de blocage telle que celle reprochée à la prévenue. Le fait qu'une manifestation n'a pas été autorisée ne permet pas à la police de la dissoudre par tous les moyens.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46-47). 6.2.2 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 e éd., Berne 2010, n. 6 ad art. 239 CP ; Dupuis et al. [éd.], Petit commentaire du Code pénal, 2 e éd., Bâle 2017, n. 5 ad art. 239 CP). La loi mentionne à titre d’exemples l’entreprise de chemin de fer, ainsi que celle des postes par le réseau de bus postaux. Il faut également ajouter les entreprises de transport par métro, par tram, par bus, par bateau, par avion, par téléphérique (ATF 85 IV 224 consid. III/2, JdT 1960 IV 51 ; Dupuis et al. [éd.],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 6.2.3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précité ; Corboz, op. cit., n. 13 ad art. 286 CP). 6.3 En l’espèce, la prévenue a admis devant le premier juge qu’elle s’était mêlée à la foule des manifestants avant de s’asseoir avec eux sur la chaussée. Au vu de la description de la manifestation faite par la police (cf. faits décrits sous ch. C.2.2.a qui relatent notamment la pose de blocs en béton par les manifestants, le déploiement d’un dispositif policier, l’engagement de sapeurs-pompiers afin de couper les chaînes et cadenas et la formation d’un couloir sur la rue Centrale pour permettre à l’ambulance de passer), il n’apparaît pas crédible que la prévenue n'ait pas entendu l'ordre d’évacuation de la police, qu’elle n’ait pas compris qu’elle devait se lever et quitter les lieux et encore moins qu’elle pensait qu’il s’agissait d’une manifestation autorisée. On relèvera que la prévenue a soutenu devant le premier juge que si elle avait su que la manifestation n’était pas autorisée, elle n’y serait pas allée, ne « vo[yant] pas le but de créer des problèmes ». Si tel était vraiment le cas, on ne comprend pas pourquoi il a été nécessaire de la « soulever », comme elle l’a déclaré à la Cour de céans, et encore moins pourquoi elle a occupé un mois plus tard la succursale de E.________ Switzerland AG, tant il était « logique » – pour reprendre le terme utilisé par O.________ – que celle-ci n’autoriserait pas des manifestants à pénétrer dans ses locaux et y déverser du charbon. On ne saurait retenir une erreur excusable de la part de la prévenue. Il faut au contraire considérer que celle-ci s’est, dans l’hypothèse la plus favorable, accommodée de la situation, de sorte qu’elle a agi par dol éventuel. Les faits tels que retenus par le premier juge ont donc été correctement appréciés. S’agissant de la durée du blocage, il est établi que la manifestation en question a sérieusement entravé la circulation des transports publics au centre de la ville de Lausanne durant plusieurs heures. Elle a également compliqué l’intervention d’une ambulance. Quand bien même la prévenue n’aurait rejoint les manifestants qu’après 13 h 00 et ne serait restée qu’une heure comme elle le soutient, il faut retenir qu’elle a, par son comportement, activement contribué à ce que l’action de blocage à laquelle elle participait et les perturbations que celle-ci engendrait pour la population non-manifestante se prolongent. Dans ces circonstances, la prévenue n’est pas fondée à se prévaloir des droits fondamentaux garantis par la CEDH à titre de fait justificatif et les conditions de l’art. 239 CPP sont réalisées. Enfin, s’agissant de l’infraction d’empêchement d’accomplir un acte officiel, on l’a dit, la prévenue n’est pas crédible lorsqu’elle affirme n’avoir pas compris qu’elle devait quitter les lieux. Devant le premier juge, elle a expliqué qu’elle avait formé avec les manifestants un « petit groupe », qu’ils s’étaient « [tenus] un peu les uns les autres par les épaules » pour « empêcher que le marché se fasse enlever » et qu’un policier l’avait « saisie » et « enlevée de la chaussée ». Devant la Cour de céans, elle a indiqué qu’on l’avait « soulevée » et qu’elle n’avait pas résisté. Or, on ne voit pas la nécessité de se tenir par les épaules pour empêcher que « le marché » se fasse enlever, si ce n’est précisément pour compliquer la tâche des policiers de rétablir la circulation et d’enlever de la chaussée les manifestants qui ne se levaient pas d’eux-mêmes. Ainsi, dans la mesure où elle n’a pas obtempéré à l’injonction de la police et obligé celle-ci à la saisir physiquement, il faut retenir que la prévenue a exercé une opposition active à l’égard des policiers. En définitive, tant les conditions de l'art. 239 CP que de l’art. 286 CP sont réalisées. La condamnation de J.________ pour entrave aux services d’intérêt général et empêchement d’accomplir un acte officiel en lien avec la manifestation du 14 décembre 2019 doit être confirmée. Le dol éventuel devant à tout le moins être retenu, sa condamnation pour violation simple des règles de la circulation routière (pour avoir violé les art. 26 al. 1 LCR, 49 al. 2 LCR et 46 al. 2 OCR) doit également être confirmée. Enfin, pour avoir participé à une manifestation non autorisée, la contravention à l’art. 41 RGP doit également être confirmée, la prévenue n’étant pas habilitée à se prévaloir des art. 10 et 11 CEDH (cf. consid. 5.3 ci-dessus). 7. Aux débats d’appel, les appelants par voie de jonction ont plaidé à titre subsidiaire une exemption de peine au sens de l’art. 52 CP, faisant valoir que leur action au sein des locaux de E.________ Switzerland AG se serait déroulée dans le calme, qu’ils n’auraient pas entravé le travail des employés et qu’ils n’auraient pas dû être évacués par la force.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7.1.2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7.1.3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 TF 6B_1295/2020 du 26 mai 2021 consid. 7, non publié in ATF 147 IV 297). La culpabilité de l'auteur se détermine selon les règles générales de l'art. 47 CP (ATF 146 IV 297 consid. 2.3 ; ATF 135 IV 130 consid. 5.3.2 ; TF 6B_1295/2020 précité consid. 7, non publié in ATF 147 IV 297), mais aussi selon d'autres critères, comme le principe de célérité ou d'autres motifs d'atténuation de la peine indépendants de la faute tels que l'écoulement du temps depuis la commission de l'infraction (ATF 135 IV 130 consid. 5.4 ; TF 6B_1295/2020 précité consid. 7, non publié in ATF 147 IV 297). 7.2 En l’espèce, il n’y a pas matière à exempter les prévenus de toute peine. Ils se sont introduits dans les locaux de la société plaignante sans autorisation, n’ont pas immédiatement quitté les lieux lorsque celle-ci le leur a demandé et sont restés deux heures. Ce faisant, ils ont entravé la bonne marche des services de la banque qui a dû requérir l’intervention des forces de l’ordre. La faute des prévenus n’est donc pas de peu d’importance. O.________, A.________, M.________, B.________, K.________ et A.P.________ se sont rendus coupable de contravention à la loi vaudoise sur les contraventions. Les amendes que leur a infligé le premier juge à hauteur de 100 fr., convertibles en des peines privatives de liberté de substitution de 2 jours, sont adéquates et compatibles avec les garanties énoncées par l'art. 11 CEDH (cf. TF 6B_1295/2020 du 26 mai 2021 consid. 6 non publié à l’ATF 147 IV 297). Elles seront ainsi confirmées. Quant à J.________, condamnée pour entrave aux services d’intérêt général, empêchement d’accomplir un acte officiel, violation simple des règles de la circulation et deux contraventions à l’art. 41 RGP, la peine pécuniaire de 20 jours-amende à 30 fr., avec sursis durant 2 ans, ainsi que l'amende de 300 fr., convertible en une peine privative de liberté de 6 jours, paraît également adéquate. Elle sera elle aussi confirmée. 8. Les appelants par voie de jonction concluent à ce que les frais de procédure de première instance soient laissés à la charge de l’Etat. Dès lors que cette conclusion repose sur la prémisse de l’admission de leurs appels joints, elle doit être rejetée. Conclusion, frais et dépens 9. 9.1 En définitive, l’appel du Ministère public ainsi que les appels joints d’O.________, A.________, M.________, B.________, K.________, A.P.________ et J.________ doivent être rejetés et le jugement entrepris intégralement confirmé. Une erreur s’est toutefois glissée dans la numérotation de son dispositif. Elle sera corrigée d’office. 9.2 Dans la mesure où l’appel du Ministère public est rejeté, les appelants par voie de jonction, assistés de défenseurs de choix, ont droit à l’allocation d’une indemnité pour les dépenses occasionnées par l’exercice raisonnable de leurs droits de procédure au sens de l’art. 429 al. 1 let. a CPP, à la charge de l’Etat. Puisque leurs appels par voie de jonction sont également rejetés, cette indemnité doit être dans son principe réduite d’un tiers. La liste des opérations produite par Me Luc Vaney, défenseur d’A.________, fait état de 11 heures et 33 minutes d’activité, audience d’appel comprise, au tarif horaire de 300 francs. La liste des opérations produite par Me Joëlle Druey, défenseur de J.________, fait état de 10 heures d’activité, une heure d’audience d’appel comprise, au tarif horaire de 300 francs. La liste des opérations produite par Me Raphaël Jakob, défenseur d’O.________ fait état de 5 heures et 15 minutes d’activité, audience d’appel non comprise, au tarif horaire de 300 francs. La liste des opérations produite par Me Baud-Lavigne, défenseur de B.________, fait état de 10 heures et 25 minutes d’activité, 2,5 heures d’audience d’appel comprises, au tarif horaire de 300 francs. Me Baud-Lavigne a également produit une liste des opérations pour l’activité déployée au nom de A.P.________ qui fait état de 5 heures et 58 minutes d’activité, au tarif horaire de 300 francs. Enfin, Me Micheli-Jeannet, défenseur de M.________, a produit une liste d’opérations faisant état de 10,1 heures d’activité, 90 minutes d’audience d’appel comprises, au tarif horaire de 300 francs. Force est cependant de constater que les prévenus ont bénéficié d’une défense commune. Leurs défenseurs se sont réparti les questions à plaider en audience et les appels par voie de jonction sont identiques, à l’exception de celui concernant J.________, qui a également contesté sa condamnation pour avoir pris part à une autre manifestation non autorisée. Dans ces circonstances, la Cour estime qu’une activité totale de 30 heures apparaît adéquate pour assurer la défense des prévenus en appel. A celles-ci s’ajoutent 21 heures supplémentaires pour la présence des sept défenseurs à l’audience d’appel qui a duré 3 heures. La nature de la cause n’étant pas particulièrement complexe et les prévenus ayant bénéficié d’une défense commune, le tarif horaire sera fixé à 250 fr. au lieu des 300 fr. requis. Par conséquent, c’est une indemnité de 12'750 fr. (51 heures x 250 fr.), réduite d’un tiers, soit de 4'250 fr., qui doit être répartie entre les sept appelants par voie de jonction. Chacun d’entre eux aura ainsi droit à une indemnité de 1'215 fr. ([12'750 – 4’250] : 7). 9.3 Vu l'issue de la cause, les frais de la procédure d'appel, par 4’220 fr., constitués de l'émolument du présent jugement (art. 21 al. 1 et 2 TFIP), seront mis par deux tiers à la charge de l’Etat, le solde étant réparti entre les appelants par voie de jonction à raison d’un vingt-et-unième chacun. Les frais de première et deuxième instances mis à la charge des appelants par voie de jonction seront compensés avec les indemnités qui leur sont allouées pour la procédure d’appel.</w:t>
      </w:r>
    </w:p>
    <w:p>
      <w:r>
        <w:rPr>
          <w:b/>
        </w:rPr>
        <w:t>E. 8</w:t>
      </w:r>
    </w:p>
    <w:p>
      <w:r>
        <w:t>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10</w:t>
      </w:r>
    </w:p>
    <w:p>
      <w:r>
        <w:t>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 ; TF 6B_655/2022 précité consid. 4.2).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 Selon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(arrêts de la CourEDH Primov et autres c. Russie du 12 juin 2014, § 117 ; Oya Ataman c. Turquie du 5 décembre 2006, § 38 ; Berladir et autres c. Russie du 12 juillet 2012, §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