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79 vom 27. September 2019</w:t>
      </w:r>
    </w:p>
    <w:p>
      <w:r>
        <w:t>VD Tribunal cantonal, 2019-09-27, FR</w:t>
      </w:r>
    </w:p>
    <w:p>
      <w:r>
        <w:rPr>
          <w:b/>
        </w:rPr>
        <w:t xml:space="preserve">Quelle: </w:t>
      </w:r>
      <w:r>
        <w:t>https://mcp.opencaselaw.ch/entscheid/vd_findinfo_Jug___2022___79</w:t>
      </w:r>
    </w:p>
    <w:p>
      <w:r>
        <w:t>FR: VD_FINDINFO Jug / 2022 / 79 du 27 septembre 2019</w:t>
      </w:r>
    </w:p>
    <w:p>
      <w:r>
        <w:t>IT: VD_FINDINFO Jug / 2022 / 79 del 27 settembre 2019</w:t>
      </w:r>
    </w:p>
    <w:p>
      <w:pPr>
        <w:pStyle w:val="Heading2"/>
      </w:pPr>
      <w:r>
        <w:t>Regeste</w:t>
      </w:r>
    </w:p>
    <w:p>
      <w:r>
        <w:t>RÉVISION{DÉCISION}, REJET DE LA DEMANDE, NOUVEAU MOYEN DE PREUVE | 410 al. 1 let. a CPP (CH)</w:t>
      </w:r>
    </w:p>
    <w:p>
      <w:pPr>
        <w:pStyle w:val="Heading2"/>
      </w:pPr>
      <w:r>
        <w:t>Erwägungen</w:t>
      </w:r>
    </w:p>
    <w:p>
      <w:r>
        <w:rPr>
          <w:b/>
        </w:rPr>
        <w:t>E. 1.1</w:t>
      </w:r>
    </w:p>
    <w:p>
      <w:r>
        <w:t>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Heer, in : Niggli/Heer/ Wiprächtiger [éd.], Basler Kommentar, Schweizerische Strafprozessordnung, Jugendstrafprozessordnung,</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op. cit., n. 2 ad remarques préliminaires aux art. 410 à 415 CPP et la référence citée).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w:t>
      </w:r>
    </w:p>
    <w:p>
      <w:r>
        <w:rPr>
          <w:b/>
        </w:rPr>
        <w:t>E. 2</w:t>
      </w:r>
    </w:p>
    <w:p>
      <w:r>
        <w:t>A l’appui de sa demande, le requérant a notamment produit une copie de fiches de transports, le rapport d’un détective privé ainsi qu’une liste de sept personnes dont il demande l’audition en qualité de témoin, expliquant que ces derniers « pourraient apporter leur concours à la résolution du conflit ». On relève que les fiches de transports jointes à la demande de révision (P. 9 du bordereau joint à la requête) ne sont pas des pièces nouvelles puisqu’elles ont déjà été produites en procédure (P. 7/2/10 à 7/2/12 ; P. 18/2 ; deux classeurs bleus ; pièce à conviction n° 40'382) . Le rapport du détective privé W.________ atteste qu’un client du requérant, Z.________, a reconnu sa signature sur les fiches de transport qu’il gardait chez lui, sans pour autant pouvoir affirmer quel était le chauffeur, a fortiori, qui avait signé les bons en question car il avait eu à faire avec plusieurs chauffeurs (P. 8 du bordereau joint à sa requête). Enfin, le requérant souhaiterait faire entendre sept personnes en qualité de témoins (P. 10 du bordereau joint à sa requête), en se bornant à affirmer que ces derniers « pourraient apporter leur concours à la résolution du conflit ». Il n’explique ainsi pas en quoi l’audition de ces personnes seraient de nature à motiver la condamnation de L.________ pour abus de confiance. Compte tenu de ce qui précède, les éléments de preuve proposés par le requérant à l’appui de sa demande ne sont pas propres à ébranler les constatations de fait sur lesquelles se fonde le jugement rendu le 26 février 2020 par la Cour d'appel pénale s’agissant de l’absence de force probante des pièces du dossier (cf. consid. 3.2.6) . En particulier, le rapport du détective privé ne contient rien de probant à la charge du prévenu acquitté.</w:t>
      </w:r>
    </w:p>
    <w:p>
      <w:r>
        <w:rPr>
          <w:b/>
        </w:rPr>
        <w:t>E. 3</w:t>
      </w:r>
    </w:p>
    <w:p>
      <w:r>
        <w:t>Au vu de ce qui précède, les motifs de révision invoqués sont d’emblée manifestement mal fondés de sorte que la demande de révision présentée par O.________ doit être déclarée irrecevable, sans échange d’écritures (art. 412 al. 2 CPP). Les frais de la procédure de révision, par 770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