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7 vom 28. April 2021</w:t>
      </w:r>
    </w:p>
    <w:p>
      <w:r>
        <w:t>VD Tribunal cantonal, 2021-04-28, FR</w:t>
      </w:r>
    </w:p>
    <w:p>
      <w:r>
        <w:rPr>
          <w:b/>
        </w:rPr>
        <w:t xml:space="preserve">Quelle: </w:t>
      </w:r>
      <w:r>
        <w:t>https://mcp.opencaselaw.ch/entscheid/vd_findinfo_Jug___2022___7</w:t>
      </w:r>
    </w:p>
    <w:p>
      <w:r>
        <w:t>FR: VD_FINDINFO Jug / 2022 / 7 du 28 avril 2021</w:t>
      </w:r>
    </w:p>
    <w:p>
      <w:r>
        <w:t>IT: VD_FINDINFO Jug / 2022 / 7 del 28 aprile 2021</w:t>
      </w:r>
    </w:p>
    <w:p>
      <w:pPr>
        <w:pStyle w:val="Heading2"/>
      </w:pPr>
      <w:r>
        <w:t>Regeste</w:t>
      </w:r>
    </w:p>
    <w:p>
      <w:r>
        <w:t>CONSTATATION DES FAITS, FIXATION DE LA PEINE, EXPULSION{DROIT PÉNAL}, TENTATIVE{DROIT PÉNAL}, MEURTRE | 22 ad 111 CP, 47 CP, 66a al. 2 CP,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N.________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L'appelant conteste tout d'abord l'appréciation faite de ses déclarations par les premiers juges, selon laquelle il ne serait pas crédible dans sa version des faits. Il faudrait au contraire admettre que sa version selon laquelle, s'il a bien infligé intentionnellement des blessures à son antagoniste au moyen d'un couteau, il s'agissait uniquement d'une coupure superficielle dans le dos qui ne pouvait aucunement avoir une issue mortelle. Il serait donc exclu selon lui de considérer qu'il aurait pu avoir l'intention de tuer, même par dol éventuel. Quant au second coup de couteau il serait accidentel, version qui aurait dû être retenue à tout le moins au bénéfice du doute. Le caractère accidentel du second coup de couteau serait en outre corroboré par les caractéristiques d'une lésion essentiellement superficielle dans une zone qui ne présentait pas le risque d'une lésion interne.</w:t>
      </w:r>
    </w:p>
    <w:p>
      <w:r>
        <w:rPr>
          <w:b/>
        </w:rPr>
        <w:t>E. 3.1</w:t>
      </w:r>
    </w:p>
    <w:p>
      <w:r>
        <w:t>La présomption d'innocence, garantie par les art. 10 CPP, 32 al. 1 Cst., 14 par. 2 Pacte ONU II et</w:t>
      </w:r>
    </w:p>
    <w:p>
      <w:r>
        <w:rPr>
          <w:b/>
        </w:rPr>
        <w:t>E. 3.2</w:t>
      </w:r>
    </w:p>
    <w:p>
      <w:r>
        <w:t>En l’espèce, les premiers juges ont en substance tenu pour crédibles les déclarations de L.________, qui n’avait pas été formel sur le fait de savoir qui avait déclenché la bagarre initiale et qui n’avait donc pas accablé N.________. Il avait été constant dans sa version des faits concernant la suite des événements et notamment l’attaque au couteau qu’il avait subie, et ses déclarations étaient pour l’essentiel confirmées par les témoignages, qui étaient mesurés. Au contraire, les déclarations de N.________ étaient remplies de contradictions et n’étaient pas corroborées par les témoignages : il avait notamment faussement prétendu avoir été la victime dans la bagarre initiale, avoir été sous l’effet de l’alcool alors que l’éthylotest s’était révélé négatif, avoir trouvé le couteau par terre et l’avoir jeté après l’agression, un inconnu l’ayant ramassé pour s’en débarrasser. Il avait également nié avoir donné un second coup de couteau, avant de l’admettre en étant confronté à l’évidence révélée par les examens cliniques de la victime. Enfin, il avait déclaré avoir agressé L.________ en raison de sommes d’argent que ce dernier lui devait, avant de donner une autre explication aux débats, soit que l’intéressé aurait insulté la mémoire de son père. Ces considérations sont convaincantes et doivent être suivies. C’est en effet à juste titre que les premiers juges ont retenu que N.________ n’était pas crédible dans ses explications, au vu des nombreuses contradictions émaillant ses déclarations, sur divers points importants. Il en va notamment ainsi du fait que celui-ci a commencé par prétendre avoir été frappé par L.________, son frère et sa compagne lors de la première altercation (PV aud. 5, p. 3), ce qui ne correspond pas à ce qu’ont constaté les témoins. Il a ensuite prétendu avoir trouvé le couteau au sol alors qu’il en était déjà porteur en s’approchant de L.________, ce qui est notamment confirmé par le témoin [...] (cf. PV aud. 4, p. 4 ; PV aud. 6, p. 2), dont le témoignage est mesuré et dont il n’y a aucune raison de s’écarter. Le prévenu a encore prétendu qu’il s’était débarrassé du couteau en le jetant au sol et qu’un inconnu l’avait ramassé pour le lancer en bas de l’esplanade sans qu’il lui demande de le faire (PV aud. 5, R. 9 ; PV aud. 7, p. 3), alors que l’inconnu en question n’est autre que le témoin précité, que l’appelant connaissait depuis longtemps alors qu’il n’a cessé de le nier jusqu’aux débats (PV aud. 6, p. 2), et qui a confirmé que N.________ lui avait expressément demandé de se débarrasser du couteau (PV aud. 4, R. 10 ; PV aud. 6, pp. 2 et 3). En outre, l’appelant a nié avoir donné un second coup de couteau, avant de finalement l’admettre à demi-mot et en tergiversant dans ses explications sur une origine éventuellement accidentelle de la seconde blessure (PV aud. 5, R. 8 ; jugt. p. 5). Enfin, il est évident que l'appelant a agi pour se venger d'un premier affront subi lors de la bagarre initiale, lui-même ayant reconnu avoir été énervé d’avoir été frappé (cf. PV aud. 7, p. 2), et non parce que le plaignant aurait insulté son père, ce qui ne constitue qu'un prétexte pour atténuer sa culpabilité. Tous ces éléments démontrent à l’évidence que N.________ a tenté de mentir tout au long de la procédure pour se préserver. Au contraire, les déclarations de L.________, qui sont mesurées, constantes et précises, sont corroborées par celles de sa belle-sœur [...] – elles aussi mesurées et dont il n’y a dès lors pas lieu de s’écarter –  et de [...], qui n’avait aucune raison de mentir et qui a du reste été condamné pour s’être débarrassé du couteau. Il résulte de ce qui précède que les faits ont été retenus sans constatation erronée et sans violation de la présomption d'innocence. 4. L'appelant conteste sa condamnation pour tentative de meurtre. Il n'aurait fait preuve d'aucune intention homicide, même éventuelle. Selon lui, sa manière d’agir et la blessure infligée lors du premier coup de couteau donné dans le dos démonteraient qu’il n’avait pas la volonté de tuer. Il soutient en substance qu’à défaut, il aurait eu le choix d’infliger une blessure bien plus importante, alors que le rapport médical ne fait état que d’une blessure superficielle. Quant au second coup de couteau, il aurait été donné involontairement, dans la confusion résultant de la présence des diverses personnes étant intervenues pour séparer les deux opposants. Ainsi, l’appelant soutient qu’il devrait être condamné pour lésion corporelle simple pour le premier coup de couteau, et pour lésions corporelle par négligence pour le second. 4.1 Aux termes de l'art. 111 CP, celui qui aura intentionnellement tué une personne sera puni d'une peine privative de liberté de cinq ans au moins, en tant que les conditions prévues aux articles suivant ne seront pas réalisées. Il faut que l'auteur ait eu l'intention de causer par son comportement la mort d'autrui. Le dol éventuel est toutefois suffisant. Le dol éventuel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Le dol éventuel doit être distingué de la négligence consciente, en ce sens que s'il connaît également le danger et est conscient que le résultat peut se produire, l'auteur agissant par négligence conscience escompte que le résultat envisagé comme possible ne se produira pas, que le risque du résultat dommageable ne se réalisera pas. L'auteur agissant par dol éventuel accepte par contre le résultat envisagé comme possible, s'en accommode. Celui qui accepte le résultat pour le cas où il se produirait « veut » ce résultat au sens de l'art. 12 al. 2 CP. Il n'est pas nécessaire que l'auteur approuve ce résultat (ATF 125 IV 242, JdT 2002 IV 38). En d'autres termes, peut agir par dol éventuel celui qui dans le fond de son esprit sait le résultat dommageable qu'il peut provoquer, ne le souhaite pas, mais agit quand même (cf. également TF 6B_216/2012 du 16 mai 2012).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Il peut également être tenu compte des mobiles et de la manière de procéder de l'auteur (ATF 135 IV 12 consid. 2.3.3 ; ATF 133 IV 9 consid. 4.1, JdT 2007 I 553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 Le Tribunal fédéral a retenu l'intention homicide en cas de coup de couteau sur le haut du corps de la victime (TF 6B_924/2017 du 14 mars 2018 consid. 1.4.5), ou dans la région thoracique, qualifiant l'issue fatale d'élevée et de notoire (6B_230/2012 du 18 septembre 2012 consid. 2.3), ou encore dans le cou (TF 6B 548/2011 du 14 mai 2012 consid. 1.3 ; TF 6B 234/2016 du 5 août 2016 consid. 3.3). II y a tentative (art. 22 al. 1 CP)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(ATF 122 IV 246 consid. 3a ; ATF 120 IV 17 consid. 2c ; TF 6B_924/2017 du 14 mars 2018 consid. 1.1.3). 4.2 En l’espèce, s’il n'est pas contesté que la bagarre initiale avait pris fin, il faut constater que l'appelant est revenu à la charge pour frapper son antagoniste à coups de couteau, d'abord dans le dos puis de face en lui portant un coup à l'aisselle gauche, alors que le plaignant se retournait. D'emblée on doit considérer que la thèse d'un second coup de couteau accidentel ne résiste pas à l'examen, car il est absurde de prétendre qu'un coup de couteau pourrait résulter d'une négligence, tant il est évident que celui qui est porteur d'une arme blanche qui blesse une seconde fois son antagoniste qui lui fait face, après lui avoir causé une première blessure de dos, agit à tout le moins par dol éventuel. L'appelant ne peut rien déduire d'ailleurs de la localisation de la seconde blessure, puisque la victime se retournait et que, dans le mouvement, le prévenu ne pouvait pas viser un endroit précis du torse. Il a simplement choisi de frapper encore une fois au moyen du couteau, ce qui dénote une intention délictuelle persistante, et constitue un indice de sa volonté homicide. Quant à l’argument selon lequel le second coup de couteau aurait été donné alors que d’autres personnes intervenaient pour séparer le prévenu de sa victime, il ne trouve aucun appui dans le dossier, au contraire, puisqu’il apparaît que lorsque les intéressés ont été séparés, la victime avait déjà été blessée à deux reprises. Pour le surplus, c'est en vain également que l'appelant tente de relativiser la gravité du premier coup de couteau donné dans le dos. Il faut au contraire constater que le coup a été donné par surprise avec une lame pointue et aiguisée et a provoqué une lésion importante nécessitant 22 points de suture. Si d'un point de vue médico-légal les blessures ont été qualifiées de superficielles et n'ont pas mis en danger la vie du plaignant (P. 29, p. 8), il n'en demeure pas moins que les coups ont été portés avec détermination, la longueur de la blessure dans le dos l'attestant et, quoi qu'en dise l'appelant, avec intensité également pour le second coup. Pour s'en convaincre, il suffit de prendre connaissance de la photographie (cf. P. 5/8) qui montre l'importante plaie sous l'aisselle gauche du plaignant, qui aurait pu toucher une artère, et qui se situe non loin du cœur. Il convient par ailleurs, pour déterminer la volonté de l’auteur, d’examiner les circonstances dans leur globalité et non, comme le voudrait l’appelant, en deux temps. Il faut ainsi retenir qu'à deux reprises le prévenu a frappé le plaignant au moyen d'un couteau, lui occasionnant d'abord une importante lésion dans le dos, mais surtout, le frappant à nouveau au torse dans le but de poursuivre son agression à l'arme blanche. Le fait de frapper à deux reprises sur le haut du corps avec un couteau aiguisé constitue une prise de risque mortel, cela d'autant que l'attaque débute par l’arrière et que l'auteur renouvèle sa frappe lorsque la victime lui fait face. Le mobile de vengeance et l’état d’énervement de l’auteur doivent aussi être pris en compte pour retenir que N.________ souhaitait punir son antagoniste, en acceptant le cas échéant une issue mortelle. Objectivement et subjectivement, les éléments constitutifs de la tentative de meurtre sont donc réalisés et la condamnation de N.________ doit dès lors être confirmée. 5. L'appelant se plaint ensuite de la sévérité de la peine qui lui a été infligée en première instance, indépendamment de la qualification juridique retenue. Les premiers juges n'auraient pas pris en compte sa bonne collaboration durant la procédure, ses excuses sincères et le retrait de plainte intervenu en faveur de sa victime, le fait qu'il aurait été « tabassé » avant les faits retenus contre lui et son parcours de vie difficile. Selon lui, un poids trop important aurait ainsi été accordé aux éléments à charge. 5.1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5.2 En l’espèce, les premiers juges ont considéré que la culpabilité de N.________ était lourde. Il s’en était pris au bien juridique le plus précieux en utilisant à deux reprises et avec force un couteau acéré, agressant lâchement sa victime dans le dos, pour un motif futile, alors que la bagarre ayant précédé avait pris fin. Il ne semblait aucunement avoir pris conscience de la gravité de ses actes, qu’il avait alternativement niés, justifiés ou minimisés, tout en accablant sa victime. A décharge, il y avait lieu de tenir compte de la reconnaissance de responsabilité pour les faits admis et l’admission des conclusions civiles. Lorsque l’appelant affirme avoir été tabassé par le plaignant avant de commette l’infraction, il s'écarte de l'état de fait retenu, qui constate que les deux parties ont retiré leur plainte pour lésions corporelles, ce qui a mis fin aux poursuites pénales en relation avec la bagarre initiale. Au demeurant, il est erroné de dire qu’il aurait été « tabassé », puisqu’il ressort du récit crédible de la victime, corroboré par les témoignages, qu’il s’est agi d’une bagarre au cours de laquelle des coups ont été mutuellement échangés, entre le plaignant et le prévenu uniquement. Pour le reste, les premiers juges ont correctement apprécié la culpabilité de N.________, en relevant que l'infraction était grave en raison du bien juridiquement protégé, de la manière d’agir et de l'absence de réelle de prise de conscience découlant de l'inversion des rôles chez le prévenu. Cette appréciation doit du reste être confirmée ensuite de l’audition de l’intéressé en appel, qui a évoqué un « accident » et qui persiste à prétendre que le second coup de couteau aurait été donné involontairement (cf. supra , p. 3), malgré l’absurdité de cette explication. Dans ce contexte, les excuses formulées apparaissent de pure circonstance et l’intéressé ne saurait s’en prévaloir. Tout au plus doit-on retenir à décharge, comme l’on fait les premiers juges, la collaboration limitée du prévenu à l'enquête, soit sur des faits qu'il ne pouvait pas contester, en raison des témoins présents, à savoir qu'il était bien l'auteur des coups de couteau. La situation personnelle de l’appelant a également été prise en compte, puisqu’elle a été décrite en p. 12 du jugement, qui fait état du parcours migratoire de l’intéressé et de son récit contradictoire au sujet de sa famille. Quant au bon comportement en détention, il est attendu de chacun. Il s’ensuit que la peine privative de liberté de 4 ans infligée à N.________ est adéquate et doit être confirmée. Cette peine n’est pas compatible avec le sursis, même partiel. Quant à l’amende de 500 fr. sanctionnant la contravention à la loi fédérale sur les stupéfiants, elle est également adéquate et n’est du reste pas contestée.</w:t>
      </w:r>
    </w:p>
    <w:p>
      <w:r>
        <w:rPr>
          <w:b/>
        </w:rPr>
        <w:t>E. 6</w:t>
      </w:r>
    </w:p>
    <w:p>
      <w:r>
        <w:t>mai 2020 consid. 1.2.2 ; cf. ATF 134 II 10 consid. 4.3 ; plus récemment TF 6B_153/2020 du 28 avril 2020 consid. 1.3.2).</w:t>
      </w:r>
    </w:p>
    <w:p>
      <w:r>
        <w:rPr>
          <w:b/>
        </w:rPr>
        <w:t>E. 6.1</w:t>
      </w:r>
    </w:p>
    <w:p>
      <w:r>
        <w:t>Aux termes de l'art. 66a al. 1 let. a CP, le juge expulse de Suisse l'étranger qui est condamné notamment pour meurtre,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solution est identique en cas de tentative (Dupuis et alii, Petit commentaire CP, 2 e éd., Bâle 2017, n. 1 ad art. 66a CP).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 er mai 2020 consid. 3.2.1 ;  TF 6B_1329/2018 du 14 février 2019 consid. 2.2 ; TF 6B_1262/2018 du 29 janvier 2019 consid. 2.2).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6B_124/2020 précité ; TF 6B_1421/2019 du 12 février 2020 consid. 1.3 ; TF 6B_1024/2019 du 29 janvier 2020 consid. 1.3.2). La clause de rigueur permet de garantir le principe de la proportionnalité (cf. art. 5 al. 2 Cst. ; ATF 146 IV 105 consid. 3.4.2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6B_1417/2019, déjà 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w:t>
      </w:r>
    </w:p>
    <w:p>
      <w:r>
        <w:rPr>
          <w:b/>
        </w:rPr>
        <w:t>E. 6.2</w:t>
      </w:r>
    </w:p>
    <w:p>
      <w:r>
        <w:t>En l’espèce, N.________ est arrivé en Suisse en 2015 alors qu’il était adulte, de sorte que ses liens avec notre pays sont ténus. Alors qu’il a suivi sa scolarité et a appris un métier dans son pays d’origine, il n’a aucune attache réelle en Suisse et les membres de sa famille vivent soit en Afghanistan, soit aux Etats-Unis. Il ne parle pas le français même s’il suit des cours en détention. Il est uniquement au bénéfice d’une admission provisoire en raison du rejet de sa demande d’asile et de la non exécutabilité de son renvoi, mais il ne disposera pas à l’avenir d’un statut de séjour en Suisse. Son intérêt à demeurer dans notre pays est donc pratiquement nul, tandis que ses perspectives de réintégration en Afghanistan, pays avec lequel il a davantage de liens, ne le sont pas. Ainsi, force est de constater que l’intérêt privé de N.________ à demeurer en suisse est très faible en comparaison de l’intérêt public à l’expulser. Cet intérêt est évident au vu de la gravité de l’infraction commise et de l’absence de prise de conscience, et ce malgré un casier judiciaire vierge. L’appelant ne peut par ailleurs pas se prévaloir du fait que son expulsion dans son pays d’origine serait susceptible de le mettre dans une situation personnelle particulièrement grave, respectivement de l’exposer à un danger concret en violation de l’art. 3 CEDH. Il ressort de la jurisprudence du Tribunal fédéral rendue en droit des étrangers que la situation en Afghanistan sur le plan sécuritaire et humanitaire menace concrètement la vie des personnes, ce qui n’exclut pas en soi un retour dans ce pays ; il convient cependant d’examiner les désavantages concrets pour la personne concernée découlant de cette situation (cf. TF 2C_396/2017 du</w:t>
      </w:r>
    </w:p>
    <w:p>
      <w:r>
        <w:rPr>
          <w:b/>
        </w:rPr>
        <w:t>E. 8</w:t>
      </w:r>
    </w:p>
    <w:p>
      <w:r>
        <w:t>janvier 2018 consid. 7.6). Or, d’une part, il résulte de la décision du Secrétariat d’Etat aux migrations du 30 avril 2018 refusant l’asile à N.________ que ses déclarations quant à la chronologie des faits relatés et aux menaces et préjudices prétendument subis de la part des Talibans étaient confuses, incohérentes et, en définitive, invraisemblables ; les documents qu’il avait déposés appuyaient par ailleurs ses dires quant à son identité et son activité professionnelle, mais ne faisaient pas état de persécutions (cf. dossier du SPOP inventorié sous fiche n o 29491, décision du 8 janvier 2018, pp. 3-4). L’appelant ne peut donc pas se prévaloir d’une prétendue collaboration avec les forces américaines, respectivement de persécutions par les Talibans, ces éléments n’étant pas établis à satisfaction et ayant été jugés invraisemblables par les autorités administratives. D’autre part, on relèvera que le solde de la peine privative de liberté à exécuter avant l’expulsion est encore important et que la situation en Afghanistan est susceptible d’évoluer dans l’intervalle. Il appartiendra ainsi à l’autorité d’exécution de déterminer, à l’issue de la peine, si le renvoi peut être ordonné ou non (art. 66d CP), un pronostic effectué à ce jour ne pouvant qu’être prématuré. L’expulsion de N.________ doit donc être confirmée, pour une durée de dix ans, cette durée étant par ailleurs proportionnée. Cette mesure sera inscrite au fichier SIS. 7. Au vu de ce qui précède, l’appel doit être rejeté et le jugement entrepris confirmé. La détention subie depuis le jugement de première instance sera déduite de la peine infligée conformément à l’art. 51 CP. Le maintien en détention en exécution anticipée de peine de l’appelant sera en outre ordonné pour garantir l’exécution de la peine prononcée, vu le risque de fuite manifeste qu’il présente, compte tenu de l’absence de liens avec la Suisse (art. 221 al. 1 let. a CPP). Le défenseur d’office de N.________ a produit en audience une liste d’opérations dont il n’y a pas lieu de s’écarter, si ce n’est s’agissant du temps comptabilisé pour l’audience d’appel, surestimé, qui sera réduit. C’est ainsi une indemnité de 2'591 fr. 80 qui sera allouée à Me Martin Brechbühl pour la procédure d’appel, correspondant à 11,8 heures d’avocat au tarif horaire de 180 fr., à 42 fr.50 de débours au taux forfaitaire de 2%, à 240 fr. de vacation et à 185 fr. 30 de TVA. Vu l’issue de la cause, les frais de la procédure d’appel, par 5'191 fr. 80, constitués des émoluments de jugement et d’audience (art. 21 al. 1 et 2 TFIP), par 2’600 fr., ainsi que de l’indemnité d’office précitée, seront mises à la charge de N.________, qui succombe (art. 428 al. 1 CPP). N.________ ne sera tenue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