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58 vom 26. August 2021</w:t>
      </w:r>
    </w:p>
    <w:p>
      <w:r>
        <w:t>VD Tribunal cantonal, 2021-08-26, FR</w:t>
      </w:r>
    </w:p>
    <w:p>
      <w:r>
        <w:rPr>
          <w:b/>
        </w:rPr>
        <w:t xml:space="preserve">Quelle: </w:t>
      </w:r>
      <w:r>
        <w:t>https://mcp.opencaselaw.ch/entscheid/vd_findinfo_Jug___2022___58</w:t>
      </w:r>
    </w:p>
    <w:p>
      <w:r>
        <w:t>FR: VD_FINDINFO Jug / 2022 / 58 du 26 août 2021</w:t>
      </w:r>
    </w:p>
    <w:p>
      <w:r>
        <w:t>IT: VD_FINDINFO Jug / 2022 / 58 del 26 agosto 2021</w:t>
      </w:r>
    </w:p>
    <w:p>
      <w:pPr>
        <w:pStyle w:val="Heading2"/>
      </w:pPr>
      <w:r>
        <w:t>Regeste</w:t>
      </w:r>
    </w:p>
    <w:p>
      <w:r>
        <w:t>LÉSION CORPORELLE GRAVE, CAUSALITÉ ADÉQUATE, VIOLENCE CONTRE LES AUTORITÉS, MESURE THÉRAPEUTIQUE INSTITUTIONNELLE, TORT MORAL, BÉNÉFICIAIRE DE PRESTATIONS D'ASSISTANCE, DÉNUEMENT | 49 al. 1 CO, 54 al. 1 CO, 122 CP, 285 CP, 56 CP, 56a CP, 59 CP, 63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3898 al. 1 CPP), l’appel de V.________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à la durée de la guérison, respectivement de l’arrêt de travail, ou encore à l’impact sur la qualité de vie en général (TF 6b_422/2019 précité consid. 5.1 et les références citées). La notion de lésions corporelles graves au sens de l’art. 122 CP constitue une notion juridique indéterminée soumise à interprétation. Selon la jurisprudence, le fait de porter des coups à la tête avec les poings, les pieds ou des objets dangereux est susceptible d’entraîner de graves lésions et même la mort de la victime, ce risque étant d’autant plus grand lorsque par exemple celle-ci gît au sol sans être en mesure de réagir ou de se défendre, notamment lorsqu’elle est inconsciente (ATF 135 IV 152 consid. 2.3.2.2 ; TF 6B_111/2021 du 29 septembre 2021 consid. 3.2.3 ; TF 6B_139/2020 du 1 er mai 2020 consid. 2.3 ; TF 6B_1385/2019 du 27 février 2020 consid. 4 ; TF 6B_924/2017 du 14 mars 2018 consid. 1.3.1). De même, les circonstances concrètes du cas, parmi lesquelles figurent la violence des coups portés et la constitution de la victime, sont particulièrement déterminantes au moment de qualifier juridiquement les lésions corporelles (TF 6B_111/2021 précité consid. 3.2.3 ; TF 6B_138/2020 précité consid. 2.3 ; TF 6B_388/2012 du 12 novembre 2012 consid. 2.1.1 et 2.4).</w:t>
      </w:r>
    </w:p>
    <w:p>
      <w:r>
        <w:rPr>
          <w:b/>
        </w:rPr>
        <w:t>E. 3.1</w:t>
      </w:r>
    </w:p>
    <w:p>
      <w:r>
        <w:t>L’appelant remet en question la qualification de grave des lésions corporelles retenues au préjudice du plaignant I.________. L’appelant ne disconvient pas qu’une perte auditive permanente de 100 % est objectivement une lésion corporelle grave. Il conteste en revanche que cette lésion soit de son fait, tout en admettant être l’auteur des coups.</w:t>
      </w:r>
    </w:p>
    <w:p>
      <w:r>
        <w:rPr>
          <w:b/>
        </w:rPr>
        <w:t>E. 3.2</w:t>
      </w:r>
    </w:p>
    <w:p>
      <w:r>
        <w:t>Se rend coupable de lésions corporelles graves au sens de l’art.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à l’intégrité corporelle ou à la santé physique, et sera puni d’une peine privative de liberté de six mois à dix ans. Sur le plan objectif, l’art. 122 CP suppose un comportement dangereux, une atteinte grave à l’intégrité physique ou à la santé, ainsi qu’un lien de causalité entre ces deux éléments (Rémy, in : Macaluso/ Moreillon/Quéloz [éd.], Commentaire romand, Code pénal II, 2017, nn. 2-3 ad art. 122 CP). L’art. 122 CP, qui définit une infraction de résultat, vise tout comportement par lequel l’auteur provoque des lésions graves à la victime (Ibidem). Des lésions corporelles sont graves, notamment, si l’auteur a causé intentionnellement une incapacité de travail, une infirmité ou une maladie mentale permanente (art. 122 al. 2 CP). Dans tous les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6B_922/2018 du 9 janvier 2020 consid. 4.1.2 ; TF 6B_422/2019 du 5 juin 2019 consid. 5.1). Les atteintes énumérées par les alinéas 1 et 2 de l’art. 122 CP ont un caractère exemplatif. L’alinéa</w:t>
      </w:r>
    </w:p>
    <w:p>
      <w:r>
        <w:rPr>
          <w:b/>
        </w:rPr>
        <w:t>E. 3.3</w:t>
      </w:r>
    </w:p>
    <w:p>
      <w:r>
        <w:t>Selon la jurisprudence, la causalité adéquate sera admise même si le comportement de l’auteur n’est pas la cause directe ou unique du résultat. Peu importe que le résultat soit dû à d’autres causes, notamment à l’état de la victime, à son comportement ou à celui de tiers (ATF 131 IV 145 consid. 5.2). Le Tribunal fédéral a notamment admis qu’un état de santé déficient ou une prédisposition chez la victime ne constitue pas une circonstance propre à rompre le lien de causalité (ATF 131 IV 145 consid. 5.3). Il y a en revanche rupture du lien de causalité adéquate, lorsqu’une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l’évènement considéré, reléguant à l’arrière-plan tous les autres facteurs qui ont contribué à amender celui-ci, notamment le comportement de l’auteur (ATF 134 IV 255 consid. 4.4.2 ; ATF 133 IV 158 consid. 6.1 ; ATF 131 IV 145 consid. 5.2 ; ATF 143 III 242 consid. 3.7).</w:t>
      </w:r>
    </w:p>
    <w:p>
      <w:r>
        <w:rPr>
          <w:b/>
        </w:rPr>
        <w:t>E. 3.4</w:t>
      </w:r>
    </w:p>
    <w:p>
      <w:r>
        <w:t>En l’espèce, l’unique question à se poser est celle de savoir si une éventuelle prédisposition de la victime aurait pu être de nature à interrompre le lien de causalité adéquate entre l’acte de l’appelant et les lésions constatées sur la victime. Contrairement à ce qu’avance l’appelant, aucun élément au dossier ne permet d’asseoir à satisfaction de droit une telle thèse. En premier lieu, les rapports médicaux, en particulier celui du Dr L.________, spécialiste ORL au HUG, attestent que les coups assénés par l’appelant ont engendré une perte auditive, à l’oreille gauche, de 100 % chez la victime. Les informations médicales qui figurent au dossier relatent une hospitalisation en date du 4 juillet 2019, après que I.________ a reçu plusieurs coups de poing à la tête et à la nuque. Ce jour même, un traumatisme crânien-cérébral mineur et une fracture plurifragmentaire des os propres du nez ainsi qu’une surdité de l’oreille gauche ont été objectivés. Aucun constat d’antécédent médical, respectivement de comorbidité de quelque ordre que ce soit n’a en revanche été observé. A l’inverse, il apparaît que I.________ a présenté des symptômes de stress post-traumatique, puisqu’il a entrepris un suivi psychologique en août 2020, en raison d’une humeur très basse et d’une anxiété marquée avec la peur d’être agressé à tout moment par des inconnus ; qu’il a perdu l’ensemble de ses capacités de travail et ne parvient plus non plus à assumer son rôle de père, passant son temps isolé dans sa chambre (P. 104). S’agissant de la surdité, il ressort des rapports établis successivement qu’elle ne s’est pas améliorée malgré l’administration d’un traitement de corticoïdes et plusieurs consultations successives (P. 60/2 ; P. 69 ; P. 75 ; P. 83 ; P. 108). Au vu de ce qui précède, et notamment de la gravité des lésions causées et de leurs circonstances, c’est à juste titre que les premiers juges ont retenu, d’une part, que les lésions corporelles causées par V.________ étaient graves au sens de l’art. 122 CP et, d’autre part, qu’elles s’inscrivaient – sans que l’on ne puisse objectivement mettre en évidence la moindre rupture – dans un rapport de causalité naturelle et adéquate avec les actes appréhendés. Le moyen de l’appelant sur ce point doit être rejeté. La relation de causalité entre la surdité de I.________ et les faits du 4 juillet 2019 doit être retenue. Pour le surplus, on donnera acte à l’appelant que « l’intime conviction » exprimée par les premiers juges n’a effectivement pas sa place ici, la notion de causalité adéquate étant une question de droit et non de fait.</w:t>
      </w:r>
    </w:p>
    <w:p>
      <w:r>
        <w:rPr>
          <w:b/>
        </w:rPr>
        <w:t>E. 4</w:t>
      </w:r>
    </w:p>
    <w:p>
      <w:r>
        <w:t>Violence ou menace contre les autorités ou les fonctionnaires</w:t>
      </w:r>
    </w:p>
    <w:p>
      <w:r>
        <w:rPr>
          <w:b/>
        </w:rPr>
        <w:t>E. 4.1</w:t>
      </w:r>
    </w:p>
    <w:p>
      <w:r>
        <w:t>et 4.3 ; TF 6B_1150/2014 du 19 novembre 2015 consid. 3.2.2 ; TF 6B_222/2012 du 8 octobre 2012 consid. 2.1 et les arrêts cités). Lorsque le traitement est appliqué en cours d’exécution de peine, la mesure aura le caractère d’une injonction judiciaire, qui obligera la direction de l’établissement d’y donner suite et qui empêchera le condamné de s’y soustraire (TF 6B_371/2016 du 10 février 2017 consid. 1.3). En vertu de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d’un à cinq ans à chaque fois.</w:t>
      </w:r>
    </w:p>
    <w:p>
      <w:r>
        <w:rPr>
          <w:b/>
        </w:rPr>
        <w:t>E. 4.2</w:t>
      </w:r>
    </w:p>
    <w:p>
      <w:r>
        <w:t>Aux termes de l’art. 285 ch. 1 al. 1 CP, celui qui, en usant de violence ou de menace, aura empêché une autorité, un membre d’une autorité ou un fonctionnaire à faire un acte entrant dans ses fonctions, les aura contraints à faire un tel acte ou se sera livré à des voies de fait sur eux pendant qu’ils y procédaient, sera puni d’une peine privative de liberté de trois ans au plus ou d’une peine pécuniaire. Cette disposition réprime ainsi deux infractions différentes : la contrainte contre les autorités ou les fonctionnaires et les voies de fait contre ceux-ci (TF 6B_366/2021 du 26 janvier 2022 consid. 3.1 ; TF 6B_1191/2019 du 4 décembre 2019 consid. 3.1 ; TF 6B_863/2015 du 15 mars 2016 consid. 1.1). S’agissant de la première variante, la loi exige la menace d’un dommage sérieux, c’est-à-dire que la perspective de l’inconvénient présenté comme dépendant de la volonté de l’auteur soit propre à entraver le destinataire dans sa liberté de décision ou d’action (ATF 120 IV 17 consid. 2a/aa ; TF 6B_1183/2021 du 6 décembre 2021 consid. 4.1). La question doit être tranchée en fonction de critères objectifs, en se plaçant du point de vue d’une personne de sensibilité moyenne (ATF 122 IV 322 consid. 1a ; ATF 120 IV 17 consid. 2a/aa ; TF 6B_1253/2019 du 18 février 2020 consid. 4.2).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6B_1191/2019 précité consid. 3.1 et les références citées). La notion de voies de fait est la même que celle figurant à l’art. 126 CP.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Les voies de fait au sens de l’art. 285 CP doivent revêtir une certaine intensité. Le fait de provoquer une situation manifestement inconfortable pour la personne visée, à l’exemple d’un crachat, est toutefois suffisant (TF 6B_1191/2019 précité consid. 3.1 et les références citées). L’intensité de la violence doit être analysée selon les circonstances concrètes ; peu importe dès lors que l’auteur emploie ses mains, ses pieds ou un objet (TF 6B_1339/2018 du 21 février 2019 consid. 2.2 et la référence citée). Les voies de faits doivent intervenir pendant l’accomplissement de l’acte officiel. Toutefois, une interprétation littérale conduirait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être accompli (TF 6B_1338/2018 précité consid. 2.2 ; TF 6B_863/2015 précité consid. 1.1 et la référence citée). L’art. 285 CP vise également tous les cas où les voies de fait sont commises pour obtenir d’un fonctionnaire une action positive et non pour l’en empêcher (TF 6B_863/2015 précité consid. 1.2.2).</w:t>
      </w:r>
    </w:p>
    <w:p>
      <w:r>
        <w:rPr>
          <w:b/>
        </w:rPr>
        <w:t>E. 4.3</w:t>
      </w:r>
    </w:p>
    <w:p>
      <w:r>
        <w:t>En l’espèce, dans leur rapport du 23 juillet 2021 les experts, bien qu’ils aient admis une responsabilité pénale diminuée de façon importante, n’ont pas pour autant retenu l’irresponsabilité de l’appelant concernant les faits survenus le 24 mars 2019, du fait de la préméditation du passage à l’acte, caractérisée par la préparation par l’appelant d’une arme artisanale. Ceci posé, on ne discerne pas d’élément qui permette de se distancer de l’appréciation des experts sur ce point, pas plus que de celle des premiers juges. Aussi prégnante ait été la décompensation psychique de l’appelant au moment des faits, induisant la présence d’idées délirantes, cela ne l’a toutefois pas empêché de se munir de l’arme qu’il avait préalablement confectionnée et de la diriger contre une personne bien déterminée, soit un gardien, contre lequel il nourrissait – de son propre aveu – une rancœur préalable, du fait qu’il l’aurait traité de façon inadéquate selon lui, en lui proposant de fumer, alors qu’il s’adonnait à la pratique d’un exercice physique. Par un tel acte, V.________ était manifestement habité de la volonté de s’en prendre spécifiquement au gardien qui l’avait – selon une appréciation qui lui est propre – importuné précédemment. Il ne pouvait ignorer dès lors qu’en agissant de la sorte, il mettrait, selon une certaine vraisemblance, hors d’état d’officier le professionnel pendant un temps déterminé. De surcroît et quand bien même l’appelant n’aurait pas eu pour but assumé d’empêcher l’accomplissement de la mission officielle du gardien de prison, le résultat, en l’occurrence, est seul déterminant. On observera pour le surplus que la diminution de responsabilité importe pour apprécier l’importance de la faute et non pour dire si l’élément subjectif de l’infraction est réalisé : l’irresponsabilité de l’auteur ne supprime pas sa conscience mais sa culpabilité (Villard/Corboz, in Macaluso et al. [éd.], Commentaire romand, Code pénal I, 2017 [CR-CP I], n. 33a ad art. 12 CP). En conséquence, le moyen de l’appelant est infondé et l’appréciation des premiers juges doit être confirmée.</w:t>
      </w:r>
    </w:p>
    <w:p>
      <w:r>
        <w:rPr>
          <w:b/>
        </w:rPr>
        <w:t>E. 5</w:t>
      </w:r>
    </w:p>
    <w:p>
      <w:r>
        <w:t>Mesure thérapeutique institutionnelle 59 CP</w:t>
      </w:r>
    </w:p>
    <w:p>
      <w:r>
        <w:rPr>
          <w:b/>
        </w:rPr>
        <w:t>E. 5.1</w:t>
      </w:r>
    </w:p>
    <w:p>
      <w:r>
        <w:t>L’appelant conteste la mesure thérapeutique institutionnelle ordonnée à son encontre. Il estime, en se fondant sur les conclusions expertales, qu’il doit être renoncé à une telle mesure, en lieu et place de laquelle un traitement ambulatoire devrait être ordonné, en Algérie, où il disposerait de ressources familiales et de davantage de chances de rémission.</w:t>
      </w:r>
    </w:p>
    <w:p>
      <w:r>
        <w:rPr>
          <w:b/>
        </w:rPr>
        <w:t>E. 5.2</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63 CP sont remplies (al. 1). Le prononcé d’une mesure suppose que l’atteinte aux droits de la personnalité qui en résulte pour l’auteur ne soit pas disproportionnée au regard de la vraisemblance qu’il commette de nouvelles infractions et de leur gravité (al. 2). Consacrant le principe de la proportionnalité, l’art. 56a CP rappelle que si plusieurs mesures s’avèrent appropriées, mais qu’une seule est nécessaire, le juge ordonne celle qui porte à l’auteur les atteintes les moins graves (al. 1). Si plusieurs mesures s’avèrent nécessaires, le juge peut les ordonner conjointement (al. 2). Pour ordonner une des mesures prévues aux art. 59 à 61, 63 et 64 CP, le juge doit se fonder sur une expertise. Celle-ci doit se déterminer sur la nécessité des chances de succès d’un traitement, sur la vraisemblance que l’auteur commette d’autres infractions et la nature de celles-ci et sur les possibilités de faire exécuter la mesure (art. 56 al. 3 CP). Dans ce cadre, l’expert devra se prononcer, en particulier, sur la forme du traitement et la mesure qui lui semble le plus appropriée (ATF 101 IV 124 consid. 3b ; TF 6B_1080/2021 du 8 décembre 2021 consid. 3.1 ; TF 6B_776/2021 du 8 novembre 2021 consid. 1.1 ; TF 6B_113/2021 du 8 juillet 2021 consid. 5.1).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(TF 6B_1080/2021 précité consid. 3.1 ; TF 6B_776/2021 précité consid. 1.1 ; TF 6B_113/2021 précité consid. 5.1).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L’art. 59 al. 1 CP prévoit que, lorsque l’auteur souffre d’un grave trouble mental, le juge peut ordonner un traitement institutionnel si l’auteur a commis un crime ou un délit en relation avec ce trouble (let. a) et s’il est à prévoir que cette mesure le détournera de commettre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150 IV 1 consid. 3.2.4 ; ATF 134 IV 315 consid. 3.4.1). Le traitement institutionnel s’effectue dans un établissement psychiatrique approprié ou dans un établissement d’exécution de mesure (art. 59 al. 2 CP). Il s’effectue dans un milieu fermé tant qu’il y a lieu de craindre que l’auteur s’enfuie ou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traitement des conditions de l’art. 59 al. 3 CP (ATF 142 IV 1 consid. 2.4.4 et 2.5 ; TF 6B_776/2021 précité consid. 1.2). L’exécution de la mesure prévue à l’art. 59 CP prime l’exécution d’une peine privative de liberté prononcée conjointement ainsi que celle d’une peine privative de liberté qui doit être exécutée en raison d’une révocation ou d’une réintégration (cf. art. 57 al. 2 1 re phrase CP). La durée de la privation de liberté entraînée par l’exécution de la mesure est imputée sur la durée de la peine (art. 57 al. 3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w:t>
      </w:r>
    </w:p>
    <w:p>
      <w:r>
        <w:rPr>
          <w:b/>
        </w:rPr>
        <w:t>E. 5.3</w:t>
      </w:r>
    </w:p>
    <w:p>
      <w:r>
        <w:t>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(art. 63 al. 2 1 re phrase). La suspension de la peine revêt un caractère exceptionnel (ATF 129 IV 161 consid.</w:t>
      </w:r>
    </w:p>
    <w:p>
      <w:r>
        <w:rPr>
          <w:b/>
        </w:rPr>
        <w:t>E. 5.4</w:t>
      </w:r>
    </w:p>
    <w:p>
      <w:r>
        <w:t>En l’espèce, il n’est pas contesté que l’appelant a besoin de soins, lui-même semblant désormais, à rigueur de ses récentes déclarations lors des débats d’appel, concevoir cette réalité. Le risque de récidive que V.________ présente est élevé s’agissant de faits de violence, en raison du grave trouble psychiatrique dont il est affligé, sujet à décompensation psychotique, d’autant plus plausible en l’absence de traitement adéquat.               Le constat posé par les experts en termes de diagnostics est clair : V.________ souffre d’un trouble mental grave, dont la stabilisation est entravée par l’anosognosie de l’intéressé, ainsi que par une tendance à l’altération dans le temps. De longue date, l’appelant a tenté de bénéficier de soins, revêtant des formes variées – hospitalisations, suivis ambulatoires axés sur la psychiatrie et sur le traitement des addictions. Aucune de ces tentatives n’a cependant réellement porté ses fruits de façon durable et satisfaisante, l’intéressé retombant promptement dans ses travers, mettant en échec les thérapies entreprises et, tandis qu’il était en décompensation et dénué de soins adéquats, commettant de nouvelles infractions, certaines au détriment de l’intégrité physique d’autrui. A réitérées reprises, l’intéressé, de façon souvent soudaine, inattendue et pour des motifs futiles, s’est attaqué à son prochain, aussi bien dans le milieu carcéral qu’au sein de la société civile. Sujet à des fluctuations de son état psychologique, il n’est jamais parvenu à le stabiliser de son seul gré, convaincu qu’il était de ne souffrir d’aucun trouble mental. Petit à petit, il s’est enlisé dans un sentiment de persécution. Plutôt que de solliciter des soins médicaux, il s’est souvent réfugié dans des consommations hautement nocives d’alcool et de drogue, a fortiori chez un individu souffrant de schizophrénie. Face à un tel parcours de vie, émaillé de tentatives échouées de thérapies entreprises essentiellement sur un mode volontaire et de confrontations répétées à la justice qui n’ont pas déployé l’effet préventif spécial escompté, on ne saurait raisonnablement conclure qu’un traitement ambulatoire soit une mesure suffisante pour diminuer le risque de récidive que l’appelant présente. Il apparaît au contraire qu’un séjour institutionnel est impératif, afin que V.________ dispose d’un cadre suffisamment soutenu, lui laissant une latitude saine pour entreprendre de comprendre et stabiliser les troubles dont il souffre avec le soutien de professionnels de la branche – psychiatres, psychologues, infirmiers notamment. Il apparaît de surcroît indispensable que le cadre soit suffisamment contenant pour tenir l’intéressé à l’écart de ses travers passés et des difficultés liées à la toxicomanie, étant entendu qu’un suivi ambulatoire n’offre pas de garantie suffisante dans ce sens. Finalement, l’exécution d’une mesure thérapeutique institutionnelle devrait permettre à l’appelant, pour peu qu’il adhère sincèrement aux soins qui lui seront dispensés, ce que les experts n’ont pas d’emblée exclu, de développer progressivement une certaine indépendance, dans la perspective, à terme, de réintégrer la société civile tout en présentant un danger amoindri pour celle-ci. Au vu de ce qui précède, c’est à raison que les premiers juges ont prononcé une mesure thérapeutique institutionnelle à l’encontre de l’appelant. Le moyen soulevé par ce dernier est dès lors infondé et doit être rejeté. La mesure ordonnée en première instance doit être confirmée. Suivant l’avis des experts, la Cour de céans recommande à l’autorité d’exécution que la mesure soit exécutée dans un environnement tel que celui offert par l’établissement de la Sylvabelle.</w:t>
      </w:r>
    </w:p>
    <w:p>
      <w:r>
        <w:rPr>
          <w:b/>
        </w:rPr>
        <w:t>E. 6</w:t>
      </w:r>
    </w:p>
    <w:p>
      <w:r>
        <w:t>Prétention civile de I.________</w:t>
      </w:r>
    </w:p>
    <w:p>
      <w:r>
        <w:rPr>
          <w:b/>
        </w:rPr>
        <w:t>E. 6.1</w:t>
      </w:r>
    </w:p>
    <w:p>
      <w:r>
        <w:t>Le recourant soutient qu’une responsabilité fondée sur les art. 41 ss CO (Code des obligations suisse du 30 mars 1911 ; RS 220) n’est pas envisageable faute de capacité de discernement le concernant lors des faits perpétrés à l’encontre de I.________. Selon lui, seule une responsabilité fondée sur l’art. 54 CO pourrait entrer en ligne de compte. Il considère toutefois que les conditions d’application de cette disposition – soit des considérations d’équité – n’étaient manifestement pas réalisées et que les conclusions civiles de I.________ auraient dû être rejetées.</w:t>
      </w:r>
    </w:p>
    <w:p>
      <w:r>
        <w:rPr>
          <w:b/>
        </w:rPr>
        <w:t>E. 6.2</w:t>
      </w:r>
    </w:p>
    <w:p>
      <w:r>
        <w:t>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la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 ne saurait excéder certaines limites. L’indemnité allouée doit toutefois être équitable. Le juge en proportionnera donc le montant à la gravité de l’atteinte subie et évitera que la somme accordée n’apparaisse dérisoire à la victime (ATF 130 III 699 consid. 5.1, SJ 2005 I 152, JdT 2006 I 193 ; ATF 129 IV 22 consid. 7.2, JdT 2006 IV 182 ; TF 6B_58/2016 du 18 août 2016 consid. 4.2).</w:t>
      </w:r>
    </w:p>
    <w:p>
      <w:r>
        <w:rPr>
          <w:b/>
        </w:rPr>
        <w:t>E. 6.3</w:t>
      </w:r>
    </w:p>
    <w:p>
      <w:r>
        <w:t>En l’espèce, les premiers juges ont considéré que malgré l’absence de verdict de culpabilité en lien avec ces faits, V.________ avait adopté un comportement civilement critiquable ayant causé un dommage qui lui incombait de réparer en faveur de I.________ et qu’une indemnité à hauteur de 30'000 fr. était dans ce contexte justifiée, en tenant compte du stress post-traumatique et de la surdité totale de l’oreille gauche. Cela étant, les premiers juges ont omis le fait que V.________ est totalement démuni. Depuis plusieurs années, il vit clandestinement en Suisse, ne touche aucune aide sociale et ne perçoit de revenu d’aucune sorte, si bien qu’il n’a trouvé d’autre moyen que le larcin ponctuel pour subvenir à ses besoins. Les conditions d’application de l’art 54 CO, applicables au tort moral (ATF 74 II 202), ne peuvent en conséquence pas trouver application, la question de l’équité ne s’appliquant pas pour un indigent qui n’a, par définition, aucune ressource pour réparer le dommage qu’il a causé. C’est donc à tort que les premiers juges ont accordé une indemnité à I.________ de 30'000 fr., à la charge de V.________. Le moyen est fondé et doit donc être admis. L’indemnité allouée à I.________ sera annulée. Le jugement entrepris sera réformé dans le sens de ce qui précède et le chiffre XII de son dispositif modifié en conséquence. Il sera donné acte au plaignant de ses réserves civiles.</w:t>
      </w:r>
    </w:p>
    <w:p>
      <w:r>
        <w:rPr>
          <w:b/>
        </w:rPr>
        <w:t>E. 7</w:t>
      </w:r>
    </w:p>
    <w:p>
      <w:r>
        <w:t>Quotité de la peine</w:t>
      </w:r>
    </w:p>
    <w:p>
      <w:r>
        <w:rPr>
          <w:b/>
        </w:rPr>
        <w:t>E. 7.1</w:t>
      </w:r>
    </w:p>
    <w:p>
      <w:r>
        <w:t>L’appelant ne conteste pas en tant que telle la quotité de la peine prononcée. Toutefois, celle-ci doit être vérifiée d’office.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fait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 TF 6B_1403/2020 du 5 mai 2021 consid. 2.1). Pour fixer la peine, le juge dispose d’un large pouvoir d’appréciation. Il y a toutefois violation du droit fédéral lorsque le juge sort du cadre légal, se fonde sur des critères étrangers à l’art. 47 CP, omet de prendre en considération des éléments d’appréciation prévu par cette disposition ou, enfin, si la peine qu’il prononce est exagérément sévère ou clémente au point de constituer un abus du pouvoir d’appréciation (ATF 144 IV 313 consid. 1.2 ; ATF 136 IV 55 consid. 5.6). Cela suppose que le juge exprime, dans sa décision, les éléments essentiels relatifs à l’acte ou à l’auteur dont il tient compte, de manière à ce que l’on puisse constater que tous les aspects pertinents ont été pris en considération et comment il ont été appréciés, que ce soit dans un sens aggravant ou atténuant (art. 50 CP ; ATF 144 IV 313 consid. 1.2). Le juge peut passer sous silence les élément qui, sans abus du pouvoir d’appréciation, lui apparaissent non pertinents ou d’une importance mineure. La motivation doit justifier la peine prononcée, en permettant de suivre le raisonnement adopté.</w:t>
      </w:r>
    </w:p>
    <w:p>
      <w:r>
        <w:rPr>
          <w:b/>
        </w:rPr>
        <w:t>E. 7.3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de même genre (ATF 144 IV 313 consid. 1.1 et l’arrêt cité).</w:t>
      </w:r>
    </w:p>
    <w:p>
      <w:r>
        <w:rPr>
          <w:b/>
        </w:rPr>
        <w:t>E. 7.4</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6B.892/2020 du 16 février 2021 consid. 10.4.1 et les références citées).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 TF 6B_892/2020 précité consid. 10.4.1).</w:t>
      </w:r>
    </w:p>
    <w:p>
      <w:r>
        <w:rPr>
          <w:b/>
        </w:rPr>
        <w:t>E. 7.5</w:t>
      </w:r>
    </w:p>
    <w:p>
      <w:r>
        <w:t>En l’espèce, les premiers juges ont exposé que la culpabilité de V.________ était importante, puisque notamment, il n’avait pas hésité à s’en prendre froidement, sauvagement et lâchement à un agent de détention dans l’exercice de ses fonctions, portant atteinte à l’un des biens juridiques les plus importants, soit, l’intégrité physique d’un individu. Ils ont en outre observé que les nombreuses sanctions disciplinaires prononcées à l’encontre de l’appelant lors de ses différents séjours carcéraux attestaient de sa dangerosité à l’égard d’autrui, respectivement que son intrusion dans la sphère intime d’autrui – caractérisée par un cambriolage – présentait une essence inquiétante. Au demeurant, ils ont relevé que les quelques quinze inscriptions à son casier judiciaire, dont certaines comprenaient des peines privatives de liberté ferme, ne l’avaient pas dissuadé de poursuivre son activité délictueuse. Compte tenu de ce qui précède, les premiers juges ont estimé que seule une peine privative de liberté ferme pouvait être prononcée – tout sursis étant exclu en raison d’un pronostic totalement défavorable. La Cour de céans constate que la peine a été fixée en application des critères légaux pertinents, tels que prévus aux art. 19 et 47 CP, conformément, d’une part, à la culpabilité de V.________ ainsi que, d’autre part, aux diminutions respectives de sa responsabilité pour chacune des infractions retenues. Ainsi, une peine privative de liberté s’impose effectivement, vu le prononcé de la mesure thérapeutique institutionnelle et pour des raisons de prévention spéciale, à rigueur des antécédents pluriels de l’appelant qui a ainsi démontré une propension à la délinquance de longue date. Les lésions corporelles simples sont les faits les plus graves. Vu la gravité de la faute, une peine privative de liberté de quatorze mois est adéquate. La violence ou menace contre les autorités et fonctionnaires justifie que l’on ajoute deux mois, tandis que le vol et la violation de domicile doivent être sanctionnés d’un mois chacun. En définitive, la peine totale de dix-huit mois infligée par les premiers juges est dès lors adéquate.</w:t>
      </w:r>
    </w:p>
    <w:p>
      <w:r>
        <w:rPr>
          <w:b/>
        </w:rPr>
        <w:t>E. 8</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V.________ pour des motifs de sûreté sera ordonné en raison du risque de fuite élevé qu’il présente (art. 221 al. 1 let. a CPP), celui-ci étant ressortissant algérien, aux multiples alias, sans statut en Suisse. Le risque de réitération, attesté par les nombreuses condamnations à son casier judiciaire et par le rapport d’expertise psychiatrique susmentionné est également réalisé (art. 221 al. 1 let. c CPP).</w:t>
      </w:r>
    </w:p>
    <w:p>
      <w:r>
        <w:rPr>
          <w:b/>
        </w:rPr>
        <w:t>E. 9</w:t>
      </w:r>
    </w:p>
    <w:p>
      <w:r>
        <w:t>En définitive, l’appel de V.________ doit être partiellement admis et le jugement entrepris réformé en son chiffre XII, dans le sens des considérants. Me Maxime Crisinel, défenseur d’office de V.________, a produit une liste des opérations indiquant une durée totale de 26h35. Cette durée est trop élevée, au regard de la complexité de l’affaire et des opérations nécessaires dans ces circonstances. C’est une durée de 22h35 qui sera retenue. C’est une indemnité pour la procédure d’appel d’un montant de 4'982 fr. qui sera allouée, comprenant 81 fr. de débours (2% des honoraires), ainsi que 480 fr. correspondant à quatre vacations à 120 fr. chacune, et 356 fr. pour la TVA sur le tout. Me Garance Stackelberg, conseil juridique gratuit de I.________ a produit une liste des opérations indiquant une durée totale de 13 heures. Cette durée apparaît ici aussi surévaluée, si bien qu’elle sera ramenée à 11 heures. C’est donc une indemnité pour la procédure d’appel d’un montant de 2'304 fr. qui sera allouée, comprenant 39 fr. de débours, ainsi que 120 fr. correspondant à une vacation, et 165 fr. pour la TVA sur le tout. Me Carola Massatsch, conseil juridique gratuit de B.________ finalement a produit une liste des opérations comptabilisant 785 minutes d’activité. Ici encore, soixante minutes seront retranchées, au vu de la complexité de la cause. C’est donc une indemnité pour la procédure d’appel d’un montant de 2'519 fr. qui sera allouée, comprenant 43 fr. de débours, ainsi que 120 fr. correspondant à une vacation, et 180 fr. pour la TVA. Vu l’issue de la cause, les frais d’appel, par 13'475 fr., constitués des émoluments d’audience, par 700 fr., et de jugement, par 2’970 fr., (art. 21 al. 1 et 2 TFIP [tarif des frais de procédure et indemnités en matière pénale du 28 septembre 2010 ; BLV 312.03.1]), ainsi que des indemnités allouées au défenseur d’office de l’appelant et aux conseils d’office des plaignants, par 4'982 fr., respectivement 2'519 fr. et 2'304 fr., seront mis par trois quarts à la charge de V.________ qui obtient partiellement gain de cause (art. 428 al. 1 CPP), soit 10'106 fr. 25, le solde de 3'368 fr. 75 étant laissé à la charge de l’Etat. V.________ ne sera tenu de rembourser à l’Etat les deux tiers de l’indemnité allouée à son défenseur d’office, respectivement aux conseils d’office des plaignants, mises à sa charge que lorsque sa situation financière le permettra (art. 135 al. 4 let. a CPP). La Cour d’appel pénale appliquant les articles 19 al. 1, 2 et 3, 40, 47, 49 al. 1, 50, 51, 59 al. 1 et 2, 66a al. 1 let. b et d, 69, 123 ch. 2 al. 2, 139 ch. 1, 186, 285 ch. 1 CP ; 126 et 398 ss CPP, prononce : I. L’appel est partiellement admis. II. Le jugement rendu le 26 août 2021 par le Tribunal correctionnel de l’arrondissement de Lausanne est modifié comme il suit au chiffre XII de son dispositif, le dispositif du jugement étant désormais le suivant : " I. libère V.________ du chef de prévention de lésions corporelles simples, lésions corporelles graves et infraction à la Loi fédérale sur les étrangers et l’intégration ; II. constate l’irresponsabilité de V.________ M s’agissant des lésions corporelles graves commises sur le plaignant I.________ ; III. constate que V.________ s’est rendu coupable de lésions corporelles simples qualifiées, de vol, de violation de domicile, de violence ou menace contre les autorités ou les fonctionnaires ; IV. condamne V.________ à une peine privative de liberté de 18 (dix-huit) mois, sous déduction de 499 (quatre cent nonante-neuf) jours de détention subis avant jugement ; V. ordonne la mise en œuvre d’un traitement psychiatrique institutionnel approprié à l’égard de V.________ ; VI. ordonne le maintien en détention de V.________ pour des motifs de sûreté ; VII. constate que V.________ a subi 11 (onze) jours de détention dans des conditions provisoires illicites et ordonne que 6 (six) jours de détention soient déduits de la peine fixée au chiffre IV ci-dessus, à titre de réparation du tort moral subi ; VIII. ordonne l’expulsion de V.________ du territoire suisse pour une durée de 8 (huit) ans avec signalement au système d’information Schengen SIS ; IX. ordonne la confiscation et la destruction de l’objet séquestré sous fiche n° 40765 ; X. ordonne le maintien au dossier pour en faire partie intégrante de la clef USB répertoriée sous pièce à conviction n° 40764 ; XI. dit que V.________ est débiteur de B.________ et lui doit immédiat paiement de la somme de 2'000 fr. à titre de tort moral avec intérêt à 5 % dès le 24 mars 2019 ; XII. donne acte à I.________ de ses réserves civiles à l’encontre de V.________ ; XIII. arrête l’indemnité d’office due à Me Maxime Crisinel, conseil d’office de V.________, à 23'897 fr. 10, débours, vacation et TVA compris, sous déduction d’une indemnité déjà versée de 5'000 francs ; XIV. arrête l’indemnité d’office due à Me Carole Massatsch, conseil juridique d’office de B.________, à 8'125 fr. 20, débours, vacation et TVA compris, sous déduction d’une indemnité déjà versée de 4'500 francs ; XV. arrête l’indemnité d’office due à Me Garance Stackelberg, conseil juridique d’office de I.________, à 11'985 fr. 35, débours, vacation et TVA compris ; XVI. met les frais de la présente cause par trois quarts, soit un montant de 32'696 fr., y compris trois quarts de l’indemnité allouée à son conseil d’office et la totalité de l’indemnité du conseil juridique gratuit de B.________ à la charge de V.________ et laisse le solde à la charge de l’Etat ; XVII. dit que V.________ sera tenu au remboursement des trois quarts de l’indemnité de son conseil d’office auprès de l’Etat dès que sa situation financière le permettra". III. La détention subie depuis le jugement de première instance est déduite. IV. Le maintien en détention de V.________ à titre de sûreté est ordonné. V. Une indemnité de défenseur d'office pour la procédure d'appel d'un montant de 4'982 fr. , TVA et débours inclus, est allouée à Me Maxime Crisinel. VI. Une indemnité de conseil d’office pour la procédure d’appel d’un montant de 2’519 fr., TVA et débours inclus, est allouée à Me Carola Massatsch. VII. Une indemnité de conseil d’office pour la procédure d’appel d’un montant de 2’304 fr., TVA et débours inclus, est allouée à Me Garance Stackelberg. VIII. Les frais d'appel, par 13'475 fr., y compris les indemnités allouées aux chiffres V à VII, sont mis à la charge de V.________ par trois quarts, soit 10'106 fr. 25, le solde de 3'368 fr. 75 étant laissé à la charge de l’Etat. IX. V.________ ne sera tenu de rembourser à l’Etat de Vaud les trois quarts des indemnités d’office prévues sous chiffres VI, VII et VIII ci-dessus lorsque sa situation financière le permettra . Le président :               La greffière : Du Le jugement qui précède, dont le dispositif a été communiqué par écrit aux intéressés le 1 er février 2022 , est notifié, par l'envoi d'une copie complète, à : - Me Maxime Crisinel, avocat (pour V.________), - Me Carola Massatsch, avocate (pour B.________), - Me Garance Stackelberg, avocate (pour I.________), - Ministère public central, une copie du dispositif est adressée à : - Mme la Présidente du Tribunal correctionnel de l’arrondissement de Lausanne, - M. le Procureur de l'arrondissement de la Côte ad hoc pour l’arrondissement de Lausanne, - Office d'exécution des peines, - Etablissements de la plaine de l’Orbe, - Service pénitentiaire (bureau des séquestres),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