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459 vom 22. August 2022</w:t>
      </w:r>
    </w:p>
    <w:p>
      <w:r>
        <w:t>VD Tribunal cantonal, 2022-08-22, FR</w:t>
      </w:r>
    </w:p>
    <w:p>
      <w:r>
        <w:rPr>
          <w:b/>
        </w:rPr>
        <w:t xml:space="preserve">Quelle: </w:t>
      </w:r>
      <w:r>
        <w:t>https://mcp.opencaselaw.ch/entscheid/vd_findinfo_Jug___2022___459</w:t>
      </w:r>
    </w:p>
    <w:p>
      <w:r>
        <w:t>FR: VD_FINDINFO Jug / 2022 / 459 du 22 août 2022</w:t>
      </w:r>
    </w:p>
    <w:p>
      <w:r>
        <w:t>IT: VD_FINDINFO Jug / 2022 / 459 del 22 agosto 2022</w:t>
      </w:r>
    </w:p>
    <w:p>
      <w:pPr>
        <w:pStyle w:val="Heading2"/>
      </w:pPr>
      <w:r>
        <w:t>Regeste</w:t>
      </w:r>
    </w:p>
    <w:p>
      <w:r>
        <w:t>PROCÉDURE ÉCRITE, PRÉSOMPTION D'INNOCENCE, CONSTATATION DES FAITS, VOIE PUBLIQUE, LOI FÉDÉRALE SUR LA CIRCULATION ROUTIÈRE, FIXATION DE LA PEINE, CONCOURS D'INFRACTIONS, RÉVOCATION DU SURSIS, SURSIS À L'EXÉCUTION DE LA PEINE | 42 al. 1 CP, 46 al. 2 CP, 47 CP, 49 al. 1 CP, 1 al. 1 LCR, 1 al. 2 LCR, 1 al. 2 OCR, 10 CPP (CH)</w:t>
      </w:r>
    </w:p>
    <w:p>
      <w:pPr>
        <w:pStyle w:val="Heading2"/>
      </w:pPr>
      <w:r>
        <w:t>Erwägungen</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conteste les faits à l’origine de sa condamnation pour recel, soit d’avoir vendu au garagiste X.________ un scooter volé. Il met en cause la crédibilité de celui-ci, qui serait lui-même un receleur à grande échelle, et fait valoir qu’il l’aurait seulement mis en cause parce qu’il le connaissait un peu, pour faire croire qu’il collaborait.</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3.3</w:t>
      </w:r>
    </w:p>
    <w:p>
      <w:r>
        <w:t>Le premier juge a retenu les faits sur la base de la mise en cause précise du garagiste, relevant que celui-ci n’avait aucune raison de mentir pour incriminer l’appelant, dès lors qu’il se mettait également personnellement en cause. Il a en outre relevé que l’appelant n’avait donné aucune explication valable quant aux éventuelles raisons qui auraient incité X.________ à le dénoncer à tort, se contentant de dire qu’il ne savait pas pourquoi il agissait ainsi, et a en conséquence estimé qu’il n’y avait aucune raison de douter de la crédibilité des déclarations du garagiste. L’appréciation des preuves faite par le premier juge doit être partagée. On constate en effet, à la lecture des procès-verbaux d’audition, que X.________ est entendu sur une activité bien plus vaste que l’achat du scooter litigieux, qui est un détail qui n’apparaît qu’en toute fin de son audition. Il n’a ainsi aucune raison de mettre en cause n’importe qui pour ce cas particulier. Il a en outre donné un nom qui correspond à celui utilisé sur les réseaux sociaux par l’appelant et a pu le reconnaître sur photographie, alors qu’U.________ avait nié le connaître. C’est manifestement ce dernier qui n’est pas crédible dans ses dénégations, étant relevé qu’il n’a jamais sollicité une nouvelle audition de X.________ alors qu’il n’a pas eu l’occasion de lui être confronté. L’appelant a au demeurant admis s’adonner occasionnellement au commerce de deux roues, de sorte que l’accusation portée à son encontre a une logique. En conséquence, l’appréciation des preuves faite par le Tribunal de police doit être partagée et les faits tels que résultant de l’acte d’accusation retenus. Ce moyen doit donc être rejeté et la condamnation de l’appelant pour recel, infraction dont la qualification juridique n’est au demeurant pas contestée, confirmée.</w:t>
      </w:r>
    </w:p>
    <w:p>
      <w:r>
        <w:rPr>
          <w:b/>
        </w:rPr>
        <w:t>E. 4.1</w:t>
      </w:r>
    </w:p>
    <w:p>
      <w:r>
        <w:t>L’appelant soutient que la place d’armes de Bretonnières, sur laquelle il ne conteste pas avoir circulé au guidon d’une moto de cross avec un groupe d’amis, ne serait pas une voie publique soumise à la LCR (Loi fédérale sur la circulation routière du 19 décembre 1958 ; RS 741.01), mais un terrain privé de la Confédération. A titre subsidiaire, il fait valoir qu’il pouvait penser de bonne foi qu’il s’agissait d’un terrain militaire qui n’était pas soumis à la LCR, de sorte que l’erreur de droit devrait à tout le moins être retenue. Il soutient enfin qu’il ne saurait être condamné pour conduite d’un véhicule automobile malgré le refus, le retrait ou l’interdiction de l’usage du permis, circulation sans permis de circulation ou plaques de contrôle et circulation sans assurance-responsabilité civile, dès lors qu’il faisait du cross avec une moto qui ne pouvait pas être immatriculée car non admise à la circulation, activité qui ne requiert aucun permis de conduire.</w:t>
      </w:r>
    </w:p>
    <w:p>
      <w:r>
        <w:rPr>
          <w:b/>
        </w:rPr>
        <w:t>E. 4.2</w:t>
      </w:r>
    </w:p>
    <w:p>
      <w:r>
        <w:t>Selon l’art. 1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 les autres usagers de la route ne sont soumis à ces règles que sur les routes ouvertes entièrement ou partiellement aux véhicules automobiles ou aux cycles (al. 2). L'art. 1 al. 2 OCR (Ordonnance sur les règles de la circulation routière du 13 novembre 1962 ; RS 741.11) précise que sont publiques les routes qui ne servent pas exclusivement à l'usage privé. Selon la jurisprudence, il y a lieu de retenir une conception large de la notion de route publique. Ainsi, les places, les ponts, les passages souterrains sont à considérer comme routes au sens de la LCR (ATF 148 IV 30 consid. 1.4.2 ; ATF 86 IV 29 consid. 2 ; TF 6B_335/2021 du 29 novembre 2021 consid. 3.1).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148 IV 30 précité ; ATF 104 IV 105 consid. 3 ; TF 6B_335/2021 précité). Ainsi, le caractère public ne dépend pas de la volonté du propriétaire, mais de l'usage qui en est fait ; peu importe que la route ait un but particulier ou soit réservée à une certaine catégorie d'usagers (ATF 148 IV 30 précité). La notion de route publique s'applique ainsi à des parcelles de bien-fonds appartenant aussi bien à des personnes physiques ou morales qu'à des corporations publiques – notamment les communes – et à des établissements de droit public (Bussy/Rusconi et al., Code suisse de la circulation routière, 4 e éd., Bâle 2015, n. 2.5 ad art. 1 LCR). Pour déterminer si une voie doit être qualifiée de publique au sens de la LCR – et par conséquent si cette loi y trouve application –, il convient donc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(ATF 86 IV 29 précité). Doit ainsi être qualifié de voie publique le parking d’un immeuble comprenant des places pour visiteurs, dès lors que celui-ci est accessible à un nombre indéterminé de personnes (TF 6B_507/2012 du 1 er novembre 2012 consid. 2.1 ; TF 6S.286/2003 du 26 septembre 2003 consid. 3.2), de même qu’une route qui, par sa situation, ne serait fréquentée que par des chasseurs, des promeneurs, des employés communaux ou des propriétaires privés, ceux-ci constituant également un cercle indéterminé de personnes (TF 6B_847/2011 du 21 août 2012 consid. 2.5). En revanche, une voie interdite à la circulation et dont l’utilisation est subordonnée à l’obtention d’une autorisation écrite ne saurait être qualifiée de publique, dès lors qu’elle n’est accessible qu’à un cercle déterminé de personnes (TF 6S.411/2005 du 21 mars 2006 consid. 2). La raison de cette définition large de la route, qui englobe également les routes ouvertes à la circulation générale et ne se recoupe donc pas entièrement avec la notion de route publique à usage commun selon la terminologie du droit public, réside dans l'objectif (de droit policier) de la législation sur la circulation routière, qui vise à protéger l'ordre et la sécurité publics dans la circulation routière et appelle, pour des raisons de prévention des dangers, à une application globale des normes d'interdiction et d'obligation (règles de circulation) y afférentes (ATF 148 IV 30 précité ; TF 6B_54/2010 du 18 mars 2010 consid. 1.2 ; TF 6B_673/2008 du 8 octobre 2008 consid. 1.1). Une telle qualification est possible même s’agissant d’un espace destiné et réservé aux piétons (Bussy/Rusconi et al., op. cit., n. 1 ad art. 1 OCR). Le critère de l’utilisation effective de la route et du cercle d’usagers pouvant y circuler a donc été développé par la jurisprudence afin d’étendre la notion de « route publique », indépendamment du caractère public ou privé de l’espace concerné. Il n’a jamais visé à exclure l’application de la LCR sur des routes publiques interdites aux véhicules automobiles et ne saurait être invoqué pour parvenir à un résultat qui serait l’exact contraire du but visé. Seul l’art. 1 al. 2 OCR est à cet égard déterminant. Cette disposition énonce clairement que sont publiques toutes les routes, sauf celles servant exclusivement à l’usage privé. Cette norme doit conduire à considérer qu’une place publique, librement accessible aux piétons et dont l’usage n’est nullement privé, constitue une route publique au sens de la LCR, quand bien même seul un cercle déterminé d’usagers automobiles pourrait l’emprunter (TF 6B_335/2021 précité). Ainsi, par exemple, si une entreprise veut restreindre à un usage exclusivement privé, la nuit ou les jours fériés, un espace ouvert aux transports publics pendant les heures de travail, cette volonté doit être rendue reconnaissable pour les tiers par une interdiction signalée ou par une barrière (art. 5 al. 1 LCR). En l'absence de telles mesures claires, le caractère public est maintenu (ATF 148 IV 30 précité ; ATF 104 IV 105 précité ; TF 6B_673/2008 précité et les références citées).</w:t>
      </w:r>
    </w:p>
    <w:p>
      <w:r>
        <w:rPr>
          <w:b/>
        </w:rPr>
        <w:t>E. 4.3</w:t>
      </w:r>
    </w:p>
    <w:p>
      <w:r>
        <w:t>Le premier juge a estimé qu’une place de tir était un espace public. Il a retenu que ce lieu était accessible à tout un chacun et n’était pas réservé exclusivement à l’usage privé, de sorte que les usagers de cet espace étaient soumis à la LCR. Il ressort toutefois du dossier, et notamment des photographies qui y figurent, que l’accès à la place d’armes de Bretonnières est fermé par une barrière, sur laquelle un panneau mentionne : « propriété privée ». Le fait que l’on puisse y pénétrer en ouvrant ladite barrière n’en fait pas pour autant un espace ouvert à chacun. Le syndic de la commune a d’ailleurs déposé plainte pour violation de domicile, ce qui démontre qu’il s’agit d’un espace où tout un chacun n’est pas censé pénétrer sans autorisation. Compte tenu de la jurisprudence susmentionnée, un tel espace, qui sert exclusivement à l’usage privé, où l’on ne peut pas pénétrer sans autorisation et dont l’interdiction d’accès est clairement signalée, ne saurait être considéré comme un espace public. Il ne saurait donc être fait grief à l’appelant d’y avoir violé la LCR, qui ne s’applique pas. Par ailleurs, s’il a certes affirmé n’avoir « pas roulé sur la voie publique sans permis, hormis à Bretonnières », on ne saurait en déduire que l’appelant aurait circulé avec sa moto de cross sur la voie publique pour se rendre sur la place d’armes, ce d’autant moins qu’il a ensuite déclaré avoir été amené sur les lieux par une camionnette (cf. jugement, p. 3). Le rapport de police ne mentionne du reste pas que l’appelant et ses comparses auraient circulé ailleurs que sur la place d’armes, une photographie des « installations dans lesquelles ils ont évolué avec leurs engins » montrant au contraire uniquement la place de tir, lieu où ils ont d’ailleurs été interpellés. Compte tenu de ce qui précède, le moyen doit être admis et l’appelant doit être libéré des chefs de prévention de conduite d’un véhicule automobile malgré le refus, le retrait ou l’interdiction de l’usage du permis, de circulation sans permis de circulation ou plaques de contrôle et de circulation sans assurance-responsabilité civile.</w:t>
      </w:r>
    </w:p>
    <w:p>
      <w:r>
        <w:rPr>
          <w:b/>
        </w:rPr>
        <w:t>E. 5.1</w:t>
      </w:r>
    </w:p>
    <w:p>
      <w:r>
        <w:t>L’appelant conteste la peine prononcée à son encontre, qu’il estime excessivement sévère, tant dans son genre que dans sa quotité. Il conclut, en cas d’admission de son appel, au prononcé d’une peine pécuniaire n’excédant pas 120 jours-amende et, subsidiairement, en cas de confirmation de sa condamnation pour recel et infractions à la LCR, au prononcé d’une peine pécuniaire de 270 jours-amende. Il fait valoir que sa dernière condamnation remonterait à 2017 pour des faits commis bien plus tôt, alors qu’il était à la limite du régime des sanctions applicables aux jeunes adultes, et qu’aucune de ses précédentes condamnations ne revêtirait un caractère de gravité hors norme, traduisant plus une probable faiblesse d’esprit qu’un endurcissement criminel. Il soutient en outre qu’il travaillerait selon un horaire d’équipe de régime « 3/8 » qui serait incompatible avec l’exécution d’une peine privative de liberté sous le régime de la semi-détention.</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6B_139/2020 du 1 er mai 2020 consid. 3.1 ; TF 6B_1400/2017 du 26 mars 2018 consid. 2.2). Lors de l'appréciation des perspectives d'amendement, le juge doit prendre en considération l'effet dissuasif que la nouvelle peine peut exercer, si elle est exécutée (ATF 134 IV 140 précité consid. 4.4 et 4.5 ; TF 6B_93/2021 précité ; TF 6B_454/2021 précité).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6B_139/2020 précité).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que l'intéressé puisse au besoin la contester utilement (TF 6B_454/2021 précité ; TF 6B_291/2020 du 15 mai 2020 consid. 2.3 ; TF 6B_143/2019 du 6 mars 2019 consid. 2.1).</w:t>
      </w:r>
    </w:p>
    <w:p>
      <w:r>
        <w:rPr>
          <w:b/>
        </w:rPr>
        <w:t>E. 5.3</w:t>
      </w:r>
    </w:p>
    <w:p>
      <w:r>
        <w:t>Après avoir analysé les éléments à charge et à décharge, le premier juge a estimé qu’une peine privative de liberté de six mois, compatible avec le régime de la semi-détention, devait être prononcée pour sanctionner le recel, ainsi que les différentes infractions à la LCR, à la LArm et à la LStup, et qu’une amende de 300 fr. devait réprimer les contraventions commises. Il a exclu l’octroi du sursis, jugeant le pronostic clairement défavorable, et a révoqué le sursis prononcé le 28 septembre 2017 par le Juge de Police de la Sarine, estimant qu’il n’était pas possible de soutenir que l’appelant ne récidiverait pas compte tenu de la réitération spéciale en matière d’infractions à la LCR et à la LArm. L’appelant étant libéré des infractions à la LCR qui lui étaient reprochées, il est finalement reconnu coupable de recel, d’infraction à la LArm, d’infraction à la LStup et de contravention à la LStup. Sa culpabilité ne doit toutefois pas être minimisée. Il a en effet à nouveau commis des infractions à la LArm et a continué à consommer des stupéfiants, alors qu’il avait déjà été condamné pour ce type d’infractions. Il s’est en outre rendu coupable de recel et de délit contre la LStup, ce qui dénote un accroissement de l’intensité délictuelle par rapport à ses antécédents et démontre qu’il peine toujours à respecter les règles de droit. A charge, il y a lieu de tenir compte de ses antécédents et du fait qu’il ne montre aucune prise de conscience. A l’instar du premier juge, on ne voit pas de circonstance à décharge. Les peines pécuniaires auxquelles l’appelant a déjà été condamné, d’abord avec, puis sans sursis, n’ont manifestement pas eu d’effet dissuasif, celui-ci ayant réitéré les infractions en matière de LArm et commis de nouvelles infractions, le recel représentant une escalade dans la délinquance. Sous réserve de la contravention commise, qui n’est passible que d’une amende, une peine privative de liberté s’impose pour sanctionner les infractions commises pour des motifs de prévention spéciale, de sorte qu’il y a concours au sens de l’art. 49 al. 1 CP. L’infraction la plus grave est le recel, qui justifie le prononcé d’une peine privative de liberté de deux mois. Les effets du concours conduisent à l’augmentation de cette peine de base d’un mois pour sanctionner l’infraction à la LArm et d’un mois supplémentaire pour réprimer l’infraction à la LStup, de sorte qu’une peine privative de liberté de quatre mois paraît adéquate. Les antécédents de l’appelant et son absence de prise de conscience excluent l’octroi du sursis, ce qu’il ne conteste au demeurant pas. Il y a lieu de relever que la peine pourra être exécutée sous forme d’arrêts domiciliaires, si ce n’est de semi-détention, de sorte qu’elle ne mettra pas en danger l’insertion professionnelle de l’intéressé. L’appelant étant libéré de la contravention de circulation sans permis de circulation ou plaques de contrôle, le montant de l’amende sera abaissé à 100 fr. pour sanctionner la seule contravention à la LStup commise. La peine privative de liberté de substitution en cas de non-paiement fautif sera d’un jour. Enfin, s’il demeure une récidive à la LArm, il n’y a plus de récidive en matière de LCR, l’appelant ayant été libéré de tous les chefs de prévention en la matière, de sorte qu’il peut être renoncé à révoquer le sursis prononcé le 28 septembre 2017 par le Juge de Police de la Sarine, l’exécution de la peine privative de liberté ferme de quatre mois constituant un avertissement suffisant pour le détourner de la récidive par la suite.</w:t>
      </w:r>
    </w:p>
    <w:p>
      <w:r>
        <w:rPr>
          <w:b/>
        </w:rPr>
        <w:t>E. 6</w:t>
      </w:r>
    </w:p>
    <w:p>
      <w:r>
        <w:t>Dans son mémoire d’appel, l’appelant ne conclut pas à la réforme du jugement de première instance en matière de frais et indemnités, de sorte que ces points ne seront pas examinés.</w:t>
      </w:r>
    </w:p>
    <w:p>
      <w:r>
        <w:rPr>
          <w:b/>
        </w:rPr>
        <w:t>E. 7</w:t>
      </w:r>
    </w:p>
    <w:p>
      <w:r>
        <w:t>En conclusion, l’appel d’U.________ doit être partiellement admis et le jugement entrepris réformé dans le sens des considérants qui précèdent. Vu l’issue de la cause, les frais de la procédure d’appel, constitués du seul émolument de jugement (art. 21 al. 1 TFIP [Tarif des frais de procédure et indemnités en matière pénale du 28 septembre 2010 ; BLV 312.03.1]), par 2’200 fr., seront mis par moitié, soit par 1’100 fr., à la charge d’U.________, le solde étant laissé à la charge de l’Etat. U.________, qui a procédé avec l’assistance d’un avocat de choix et qui a obtenu partiellement gain de cause, a droit, de la part de l’Etat, à une indemnité réduite pour les dépenses occasionnées par l’exercice raisonnable de ses droits dans le cadre de la procédure d’appel. Par courrier du 30 janvier 2023, il a produit une liste d’opérations faisant état de 20 h 20 d’activité d’avocat au tarif horaire de 250 fr. pour les opérations effectuées entre le 20 décembre 2021 et le 20 novembre 2022. Il y a lieu de réduire la durée consacrée au mandat, dans la mesure où l’indemnisation doit être circonscrite aux opérations effectuées dans le cadre de la procédure d’appel, soit dès le 29 août 2022, et où l’opération du 10 octobre 2022 doit être retranchée, son libellé (« pofekvrjrv ») étant incompréhensible. Les débours seront indemnisés sur une base forfaitaire, à concurrence de 2 % du montant des honoraires admis (art. 19 al. 2 TDC [Tarif des dépens en matière civile du 23 novembre 2010 ; BLV 270.11.6], applicable par renvoi de l'art. 26a al. 6 TFIP). C’est ainsi une indemnité de 2’197 fr. 10, correspondant à 8 heures d’activité d’avocat au tarif horaire de 250 fr., à des débours à hauteur de 40 fr. et à la TVA au taux de 7,7 %, par 157 fr. 10, réduite de moitié – pour tenir compte du parallélisme entre le sort des frais et des indemnités –, soit de 1’098 fr. 55 au total, qu’il convient d’allouer à U.________ au titre de l’art. 429 al. 1 let. a CPP pour la procédure d’appel, à la charge de l’Etat de Vaud. Conformément à l’art. 442 al. 4 CPP, qui autorise les autorités pénales à compenser les créances portant sur des frais de procédure avec les indemnités accordées à la partie débitrice dans la même procédure pénale et avec des valeurs séquestrées, l’indemnité de 1’098 fr. 55 allouée à U.________ pour les dépenses occasionnées par l’exercice raisonnable de ses droits en procédure d’appel sera compensée avec la part des frais de justice de deuxième instance mise à sa charge, le solde dû à ce titre par l’appelant s’élevant à 1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