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456 vom 16. November 2022</w:t>
      </w:r>
    </w:p>
    <w:p>
      <w:r>
        <w:t>VD Tribunal cantonal, 2022-11-16, FR</w:t>
      </w:r>
    </w:p>
    <w:p>
      <w:r>
        <w:rPr>
          <w:b/>
        </w:rPr>
        <w:t xml:space="preserve">Quelle: </w:t>
      </w:r>
      <w:r>
        <w:t>https://mcp.opencaselaw.ch/entscheid/vd_findinfo_Jug___2022___456</w:t>
      </w:r>
    </w:p>
    <w:p>
      <w:r>
        <w:t>FR: VD_FINDINFO Jug / 2022 / 456 du 16 novembre 2022</w:t>
      </w:r>
    </w:p>
    <w:p>
      <w:r>
        <w:t>IT: VD_FINDINFO Jug / 2022 / 456 del 16 novembre 2022</w:t>
      </w:r>
    </w:p>
    <w:p>
      <w:pPr>
        <w:pStyle w:val="Heading2"/>
      </w:pPr>
      <w:r>
        <w:t>Regeste</w:t>
      </w:r>
    </w:p>
    <w:p>
      <w:r>
        <w:t>ACQUITTEMENT, PRÉSOMPTION D'INNOCENCE, FRAIS DE LA PROCÉDURE | 10 CP</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de K.________ est recevable.</w:t>
      </w:r>
    </w:p>
    <w:p>
      <w:r>
        <w:rPr>
          <w:b/>
        </w:rPr>
        <w:t>E. 2.1</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précité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w:t>
      </w:r>
    </w:p>
    <w:p>
      <w:r>
        <w:rPr>
          <w:b/>
        </w:rPr>
        <w:t>E. 2.3</w:t>
      </w:r>
    </w:p>
    <w:p>
      <w:r>
        <w:t>En l’espèce, l’appelant a réitéré les réquisitions de preuve déjà formulées en vain en première instance, à savoir l'audition de [...], domicilié en Lybie, en tant que témoin amené, l’interpellation des autorités libyennes compétentes, soit le Département de la circulation et des autorisations, Direction de la sécurité de Benghazi, rattaché au Ministère de l'intérieur libyen, respectivement le Ministère de l'Intérieur libyen, quant à la validité de son permis de conduire et enfin l'établissement d'un rapport complet par la Police de sûreté, à laquelle le dossier complet de la procédure devra être soumis au préalable, et à l'établissement duquel l'appelant pourra prendre part comme partie . S’agissant de l’audition d’ [...], on relève que celui-ci a fait une déclaration écrite en arabe le 7 mars 2022, traduite par un interprète certifié, qui a été produite au dossier, de sorte qu'il n'est pas nécessaire d'entendre cette personne, laquelle confirmera assurément ses déclarations. Le Département de la circulation et des autorisations, Direction de la sécurité de Ben Ghazi, rattaché au Ministère de l'intérieur libyen, respectivement le Ministère de l'intérieur libyen, a déjà confirmé que K.________ était titulaire du permis de conduire n° 44326 qui lui avait été délivré le 3 mai 2016 par l'autorité compétente libyenne, de sorte qu'il n'est pas nécessaire de les interpeller à nouveau. Quant au rapport d'expertise requis de la Police de sûreté, un rapport technique a été établi par la police scientifique le 28 janvier 2022 (P. 50). Il n'y a dès lors pas de motifs pour ordonner une seconde expertise, alors même que le service qui dispose précisément des méthodes et des outils techniques pour se prononcer sur l'authenticité des documents a déjà fait un rapport. Compte tenu de ce qui précède, les réquisitions de l’appelant doivent être rejetées dans la mesure où elles ne sont pas de nature à modifier le résultat de celles déjà administrées .</w:t>
      </w:r>
    </w:p>
    <w:p>
      <w:r>
        <w:rPr>
          <w:b/>
        </w:rPr>
        <w:t>E. 3</w:t>
      </w:r>
    </w:p>
    <w:p>
      <w:r>
        <w:t>L'appelant invoque une constatation et appréciation inexacte des faits, une violation de l'interdiction de l'arbitraire, une violation du principe de la présomption d'innocence, une violation des art. 69, 252 CP et 95 LCR.</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op. cit.,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3.1.2</w:t>
      </w:r>
    </w:p>
    <w:p>
      <w:r>
        <w:t>Réprimant le faux dans les certificats,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Un permis de conduire constitue un certificat au sens légal (ATF 98 IV 55 consid. 2, JdT 1972 I 484 ; TF 6B_1169/2017 du 15 juin 2018 ; Dupuis et alii [éd.], op. cit., n. 8 ad art. 252 CP). Le comportement (consommé)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pour nuire à autrui (TF 6B_1169/2017 du 15 juin 2018 consid. 1.4.1; TF 6B_619/2012 du 18 décembre 2012 consid. 1.2.1 et la référence citée).</w:t>
      </w:r>
    </w:p>
    <w:p>
      <w:r>
        <w:rPr>
          <w:b/>
        </w:rPr>
        <w:t>E. 3.1.3</w:t>
      </w:r>
    </w:p>
    <w:p>
      <w:r>
        <w:t>Selon l’art. 95 al. 1 let. a LCR (loi fédérale sur la circulation routière ; RS 741.01), est puni d’une peine privative de liberté de trois ans au plus ou d’une peine pécuniaire quiconque conduit un véhicule automobile sans être titulaire du permis de conduire requis. L’art. 99 al. 1 let. b LCR dispose qu’est puni de l’amende celui qui conduit un véhicule sans être porteur des permis ou des autorisations requis. Aux termes de l’art. 42 al. 3bis let. a OAC (ordonnance réglant l’admission des personnes et des véhicules à la circulation routière ; RS 741.51), sont tenus d’obtenir un permis de conduire suisse les conducteurs de véhicules automobiles en provenance de l’étranger qui résident depuis plus de douze mois en Suisse sans avoir séjourné plus de trois mois consécutifs à l’étranger.</w:t>
      </w:r>
    </w:p>
    <w:p>
      <w:r>
        <w:rPr>
          <w:b/>
        </w:rPr>
        <w:t>E. 3.2</w:t>
      </w:r>
    </w:p>
    <w:p>
      <w:r>
        <w:t>En l’espèce, le premier juge a retenu que selon le témoignage écrit produit au dossier et l’attestation des autorités libyennes interpellées par l’appelant, le permis qui lui avait été délivré le 3 mai 2016 paraissait certes être authentique mais qu’il n’y avait toutefois pas lieu de mettre en doute le rapport de la Brigade de police scientifique selon lequel le permis de conduire saisi au poste de douane le 26 avril 2020 était une contrefaçon. Le magistrat a dès lors considéré que les conditions objectives et subjectives de l’infraction de faux dans les certificats au sens de l’art. 252 CP étaient réalisées. De même, le premier juge a retenu qu’il ne faisait aucun doute que le faux avait été saisi par les autorités suisses sur le territoire suisse, à tout le moins au moment où le prévenu s’apprêtait à passer le poste de douane en vue de se rendre en Suisse, de sorte qu’il avait conduit sans être titulaire d’un permis de conduire au sens de l’art. 95 al. 1 let. a LCR, dont les conditions étaient également remplies. Cette appréciation doit cependant être nuancée. En effet, s’agissant de l’infraction de faux dans les titres, il ressort des pièces du dossier que le permis en cause a bel et bien été délivré par les autorités compétentes libyennes en mai 2016 (P. 11/1 à 11/6, P. 67). L’appelant a par ailleurs expliqué de manière constante et convaincante, qu’il avait pensé ne pas avoir le choix de faire les démarches nécessaires pour obtenir un permis de conduire libyen lorsque les autorités de ce pays l’avaient arrêté et sur le fait que, lorsqu’il avait reçu le document quelques jours plus tard et s’était étonné de son aspect, les autorités lui avaient expliqué que le système habituel était en panne et qu’un document standard lui serait envoyé ultérieurement. Aux débats d’appel, l’appelant a confirmé avoir reçu depuis lors un nouveau permis de conduire libyen correspondant aux standards internationaux qui lui avait été acheminé par DHL. Il avait également reçu un permis international en juin 2020. Cette version est en outre corroborée par le témoignage écrit d’ [...] daté du 7 mars 2022 (P. 52/2). On relève par ailleurs que l’appelant n’avait aucun intérêt à se faire délivrer un faux permis de conduire puisqu’il était détenteur d’un permis de conduire international valable à l’époque des faits. Enfin, le permis litigieux a été délivré en mai 2016 et depuis lors, l’appelant s’est régulièrement rendu à [...] pour y séjourner, sans que la question de la validité de ce document n’ait été remise en cause, les douanes françaises ayant d’ailleurs laissé aller l’appelant le jour de son interpellation. On ne peut dès lors totalement écarter l’hypothèse que le permis présenté par l’appelant soit un document officiel dont l’apparence falsifiée était due au fait que les autorités libyennes n’avaient pas été en mesure de fournir un document conforme en raison d’un problème technique et des difficultés liées à la guerre civile qui sévissait. Compte tenu de l’ensemble de ces circonstances, il subsiste un doute sur le fait que le permis de conduire de l’appelant soit un faux document et, que ce dernier en a eu conscience. Ce doute devant lui profiter, il convient de libérer l’appelant de l’infraction de faux dans les titres. S’agissant de l’infraction à l’art. 95 al. 1 let. a LCR, la Cour de céans relève que l’appelant est certes domicilié en Suisse et y a régulièrement conduit depuis 2014. Toutefois, l’appelant a expliqué de manière constante qu’il avait séjourné à l’étranger – en France voisine où il possède un immeuble – plus de trois mois par année entre le 26 avril 2019 et le 26 avril 2020, de sorte qu’il serait exempté de devoir obtenir un permis de conduire suisse en application de l’art. 42 al. 3bis let. a OAC. Il a également fourni des documents confirmant ces déclarations (P. 13/3, P. 15/2-15/6). Compte tenu de ce qui précède, il n’y a pas lieu de s’écarter de la version des faits présentée par l’appelant, de sorte qu’il convient de prononcer son acquittement s’agissant de l’infraction à l’art. 95 al. 1 let. a LCR.</w:t>
      </w:r>
    </w:p>
    <w:p>
      <w:r>
        <w:rPr>
          <w:b/>
        </w:rPr>
        <w:t>E. 4</w:t>
      </w:r>
    </w:p>
    <w:p>
      <w:r>
        <w:t>L’appelant se plaint d’une violation des art. 426 et 429 CPP.</w:t>
      </w:r>
    </w:p>
    <w:p>
      <w:r>
        <w:rPr>
          <w:b/>
        </w:rPr>
        <w:t>E. 4.1.1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4.1.2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w:t>
      </w:r>
    </w:p>
    <w:p>
      <w:r>
        <w:t>Dans le cas présent, s’agissant des frais de la procédure de première instance, il y a lieu de constater que l’appelant est à l’origine de l’ouverture de ladite procédure. Il a, en effet, été négligeant en ne renouvelant pas son permis de conduire international qui était échu depuis le 4 mai 2021. Ce comportement est ainsi propre à justifier l'imputation de l’entier des frais de la procédure de première instance. Partant, c'est à juste titre que l’entier des frais de procédure ont été mis à la charge de K.________. Il n’avait dès lors pas davantage droit à une indemnité au sens de l'art. 429 CPP.</w:t>
      </w:r>
    </w:p>
    <w:p>
      <w:r>
        <w:rPr>
          <w:b/>
        </w:rPr>
        <w:t>E. 5</w:t>
      </w:r>
    </w:p>
    <w:p>
      <w:r>
        <w:t>En définitive, l’appel est partiellement admis et le jugement de première instance réformé dans le sens des considérants. Vu l'issue de la cause, les frais de la procédure d'appel, par 2’240 fr. constitués en l’espèce du seul émolument d’arrêt (art. 21 al. 1 et 2 TFIP [Tarif des frais de procédure et indemnités en matière pénale du 28 septembre 2010 ; BLV 312.03.1]), seront mis par un quart à la charge de K.________, soit 560 fr., le solde étant laissé à la charge de l’Etat. L’appelant, qui obtient partiellement gain de cause et qui a procédé avec l’assistance d’un mandataire professionnel, requiert l’octroi d’une indemnité de 11'116 fr. 15, TVA incluse, au titre de l’art. 429 CPP, pour la procédure d’appel. L’appelant a produit une note d’honoraires de son défenseur pour les opérations de la procédure d’appel, faisant état d’une activité de 28.56 heures au tarif horaire de 360 francs. Tant la durée annoncée que le tarif appliqué - dédié aux causes nécessitant des connaissances particulières, ce qui n’est pas le cas en l’espèce - sont disproportionnés au vu de la nature de l’affaire. On retiendra 1h30 d’entretien avec l’appelant – en lieu et place des 2h30 alléguées les 27, 28 septembre, 3 octobre et 14 novembre 2022. On retranchera le temps annoncé (30 minutes) consacré à la réalisation d’un bordereau de pièces, qui relève du travail de secrétariat, ainsi que le temps allégué au titre de vacation (1.50 heures) qui doit être rémunéré au tarif forfaitaire de 120 francs. On tiendra compte de 30 minutes (en lieu et place de 1.50 heures annoncées) pour les activités consécutives à l’audience d’appel. De même, il n’y a pas lieu de tenir compte du temps allégué à des entretiens avec Me d’Avila Bendayan, dont on ignore la raison des interventions. C’est ainsi une activité de 12 heures et 50 minutes qui doit être admise. En l’absence de difficulté juridique et au vu de l’enjeux limité du litige, le jugement entrepris ayant été rendu par un juge unique, on appliquera un tarif horaire de 250 fr. (art. 26a al. 3 TFIP). Les honoraires s’élèvent dès lors à 3'200 fr., montant auquel il convient d’ajouter 64 fr. de débours, 120 fr. de vacation et 260 fr. 60 de TVA sur le tout. C’est en définitive une indemnité de 3'644 fr. 55, réduite d’un quart, par 2'733 fr. 40 au total, qu’il convient d’allouer à l’appelant au titre de l’art. 429 CPP pour la procédure d’appel, à la charge de l’Etat. Conformément à l’art. 442 al. 4 CPP, l’indemnité due à l’appelant pour ses frais de défense en deuxième instance, par 2'733 fr. 40, sera compensée avec les frais de justice de première instance mis à sa charge, par 3'580 fr., le solde dû par l’appelant à l’Etat étant de 846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