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448 vom 14. April 2022</w:t>
      </w:r>
    </w:p>
    <w:p>
      <w:r>
        <w:t>VD Tribunal cantonal, 2022-04-14, FR</w:t>
      </w:r>
    </w:p>
    <w:p>
      <w:r>
        <w:rPr>
          <w:b/>
        </w:rPr>
        <w:t xml:space="preserve">Quelle: </w:t>
      </w:r>
      <w:r>
        <w:t>https://mcp.opencaselaw.ch/entscheid/vd_findinfo_Jug___2022___448</w:t>
      </w:r>
    </w:p>
    <w:p>
      <w:r>
        <w:t>FR: VD_FINDINFO Jug / 2022 / 448 du 14 avril 2022</w:t>
      </w:r>
    </w:p>
    <w:p>
      <w:r>
        <w:t>IT: VD_FINDINFO Jug / 2022 / 448 del 14 aprile 2022</w:t>
      </w:r>
    </w:p>
    <w:p>
      <w:pPr>
        <w:pStyle w:val="Heading2"/>
      </w:pPr>
      <w:r>
        <w:t>Regeste</w:t>
      </w:r>
    </w:p>
    <w:p>
      <w:r>
        <w:t>COMMERCE DE STUPÉFIANTS, EXPULSION{DROIT PÉNAL}, FIXATION DE LA PEINE, RÉGIME DE LA DÉTENTION, INDEMNITÉ POUR DÉTENTION, PRÉSOMPTION D'INNOCENCE, TÉMOIN, AUDITION OU INTERROGATOIRE, DROIT D'ÊTRE ENTENDU, PREUVE ILLICITE | 3 CEDH, 49 al. 1 CP, 66a al. 1 let. o CP, 66a CP, 69 CP, 19 al. 1 LStup, 10 CPP (CH), 431 al. 1 CPP</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Z.________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L’appelant requiert que les procès-verbaux d’audition de U.________ et V.________ soient retranchés du dossier. Il s’agirait de preuves illicites, car il n’aurait pas été confronté à celui-ci ; quant à celui-là, il avait été entendu en présence de son conseil pour confirmer ses précédentes déclarations, mais ces dernières n’étaient pas connues de lui. Il n’aurait donc jamais eu l’occasion réelle de mettre en doute ses propos. Si ces procès-verbaux étaient pris en compte, il s’agirait alors d’entendre ces témoins « après que l’entier des dossiers les concernant auront été produits afin qu’il puisse se confronter à eux de manière conforme au droit ».</w:t>
      </w:r>
    </w:p>
    <w:p>
      <w:r>
        <w:rPr>
          <w:b/>
        </w:rPr>
        <w:t>E. 3.2</w:t>
      </w:r>
    </w:p>
    <w:p>
      <w:r>
        <w:t>Aux termes de l'art. 141 al. 2 CPP, les preuves qui ont été administrées d'une manière illicite ou en violation de règles de validité par les autorités pénales ne sont pas exploitables, à moins que leur exploitation soit indispensable pour élucider des infractions graves. Si un moyen de preuve est recueilli grâce à une preuve non exploitable au sens de l'art. 141 al. 2 CPP, il n'est pas exploitable lorsqu'il n'aurait pas pu être recueilli sans l'administration de la première preuve (art. 141 al. 4 CPP).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 Les pièces relatives aux moyens non exploitables doivent être retirées du dossier pénal, conservées à part jusqu'à la clôture définitive de la procédure, puis détruites (art. 141 al. 5 CPP). L’art 6 § 3 let. d CEDH garantit notamment à l’accusé le droit d’interroger ou de faire interroger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140 IV 172 consid. 1.3 ; ATF 133 I 33 consid. 3.1 ; ATF 131 I 476 consid. 2.2 ; TF 6B 386/2020 du 14 août 2020 consid. 3.1 ; TF 6B 383/2019 du 8 novembre 2019 consid. 8.1.2 non publié in ATF 145 IV 470). Sont considérées comme des déclarations de témoins toutes celles portées à la connaissance du tribunal et utilisées par lui, y compris lorsqu'elles ont été recueillies lors de l'enquête préliminaire (ATF 131 I 476 précité ; TF 6B_1310/2016 du 13 décembre 2017 consid. 2.1 ; TF 6B_956/2016 du 19 juillet 2017 consid. 2.3.1). En tant qu'elle concrétise le droit d'être entendu (art. 29 al. 2 Cst.), cette exigence est également garantie par l'art. 32 al. 2 Cst. (ATF 144 II 427 consid. 3.1.2 ; ATF 131 I 476 précité ; ATF 129 I 151 consid. 3.1). Ce droit est absolu lorsque la déposition du témoin en cause est d'une importance décisive, notamment lorsqu'il est le seul témoin, ou que sa déposition constitue une preuve essentielle (ATF 131 I 476 précité et les références citées).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(ATF 131 I 476 précité et les références citées ; TF 6B_1310/2016 précité ; TF 6B_961/2016 du 10 avril 2017 consid. 3.3.1).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 3 let. d CEDH a été respecté doit donc être examinée dans chaque cas en fonction de l'ensemble de la procédure et des circonstances concrètes (TF 6B_956/2016 précité et les références citées). Par ailleurs, le prévenu peut valablement renoncer à son droit à la confrontation, même de manière tacite, pour autant que la renonciation ne contredise pas un intérêt général important, qu’elle soit établie de manière exempte d’équivoque et qu’elle soit entourée d’un minimum de garantie correspondant à sa gravité (ATF 137 IV 33 consid. 9.2 ; TF 6B_542/2016 du 5 mai 2017 consid. 2.3 ; TF 6B_625/2015 du 28 octobre 2015 consid. 2.1).</w:t>
      </w:r>
    </w:p>
    <w:p>
      <w:r>
        <w:rPr>
          <w:b/>
        </w:rPr>
        <w:t>E. 3.3</w:t>
      </w:r>
    </w:p>
    <w:p>
      <w:r>
        <w:t>; TF 6B_456/2015 du 21 mars 2016 consid. 2.1). En principe, si la surface disponible dépasse 4 m 2 , les conditions de détention ne sont pas illicites. Par ailleurs, de brèves interruptions d’un à trois jours lors desquelles un détenu bénéficie d’un espace individuel plus grand ne sont pas de nature à interrompre le délai indicatif de trois mois au-delà duquel les conditions de détention ne sont plus tolérables et sont contraires à la dignité humaine (TF 6B_352/2018 du 27 juillet 2018 consid. 6.2 ; TF 1B_84/2016 du 27 juillet 2016 consid. 2.1). S'agissant de la prison vaudoise du Bois-Mermet, le Tribunal fédéral a précisé que, lors du calcul de la surface individuelle à disposition de chaque détenu, la surface des installations sanitaires se trouvant dans la cellule, qui peut être estimée à 1,5 m2, devait être retranchée (TF 1B_325/2017 précité consid. 3.2 ; TF 1B_70/2016 du 24 juin 2016 consid. 3.4). 11.2.2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références citées) et dès lors que l’on peut considérer que la liberté a en principe une valeur plus importante qu’une quelconque somme d’argent (CAPE 27 avril 2022/177 consid. 4.1.2 ; CAPE 8 octobre 2015/387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 TF 6B_1395/2016 27 octobre 2017 et les références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références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m 2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m 2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 S’agissant du critère de la durée de la détention, la circonstance aggravante est réalisée dès le 91 e jour et justifie depuis lors une réduction (CAPE 27 avril 2022/177 consid. 4.1.2). 11.3 L’appelant et les premiers juges sont d’accord pour dire que jusqu’au 27 octobre 2021, le prévenu a été détenu dans des conditions illicites durant un total de 114 jours au Bois-Mermet, qui s’ajoute aux 13 jours passés à la zone carcérale de l’Hôtel de police de Lausanne. Le tribunal a compté ensuite 83 jours depuis le 27 janvier 2022, date de l’ordonnance du Tribunal des mesures de contrainte, jusqu’au 14 avril 2022, pour un total de 197 jours au Bois-Mermet (114 + 83 = 197). On comprend dans les motifs que le tribunal a accordé une réparation de 7 jours pour la détention en zone carcérale (1 jour pour 2) et de 49 jours pour la détention dans des conditions illicites au Bois-Mermet (1 jour pour 4). L’appelant compte, lui, 142 jours du 23 novembre 2021 au 14 avril 2022. Le calcul de l’appelant est correct. Les P. 59 et 79 établissent en effet qu’il est détenu dans la cellule 224 depuis le 23 novembre 2021 et pas seulement depuis l’ordonnance du Tribunal des mesures de contrainte. Si on compare la surface nette à disposition dans cette cellule (9,33 m 2 pour deux détenus, dont il faut encore déduire la surface occupée par les sanitaires) avec celles des autres cellules faisant l’objet de l’ordonnance du Tribunal des mesures de contrainte du 26 janvier 2022 (9,50 m 2 et 9,23 m 2 ), on constate que la surface individuelle nette à disposition est insuffisante, à savoir de moins de 4 m 2 . Il faut également prendre en considération les autres circonstances aggravantes liées à la détention au Bois-Mermet, en particulier le manque d’intimité aux toilettes et la mauvaise isolation thermique du bâtiment, et la durée de celle-ci, qui est supérieure à trois mois. Il en résulte que l’appelant a été détenu dans des conditions illicites durant 142 jours pour la période entre le 23 novembre 2021 et le 14 avril 2022 (date du jugement de première instance). Il convient donc de l’indemniser pour ces 142 jours, auxquels s’ajoutent les 114 jours non contestés, ce qui totalise en définitive 256 jours de détention dans des conditions illicites au Bois-Mermet. L’appelant conteste aussi la proportion appliquée d’un jour pour quatre. Il voudrait que l’on décompte un jour pour trois, en faisant valoir le « caractère notable et notoire des conditions exécrables » de la prison du Bois-Mermet. C’est une motivation insuffisante, les conditions variant d’une cellule à l’autre et d’un détenu à l’autre, en fonction de ses activités et possibilités de sortir de la cellule. Les éléments qui ressortent du rapport de la direction du Bois-Mermet (P. 59) et de l’ordonnance du Tribunal des mesures de contrainte du 26 janvier 2022 ne justifient en effet pas de tenir compte d’une proportion plus favorable, compte tenu de la jurisprudence en la matière. Il faut également prendre en considération le fait que le prévenu se trouvait en dehors de sa cellule en moyenne plus de cinq heures par jour, dès lors qu’il travaillait à l’atelier buanderie à 50 %, en alternance avec son codétenu, et qu’il occupait ainsi seul sa cellule double lorsque ce dernier travaillait, ce qui allégeait ses conditions de détention. Il convient ainsi d’opérer une réduction de peine d’un quart des jours passés dans des conditions illicites de détention, ce qui revient à déduire 64 jours (256/4), auxquels il faut ajouter 7 jours pour les 13 jours passés en zone carcérale, ce qui totalise en définitive une déduction de 71 jours, au lieu des 56 jours déduits par les premiers juges. L’appel doit par conséquent être partiellement admis sur ce point. 11.4 L’appelant fait valoir que, depuis le jugement de première instance, il se trouve toujours dans la même cellule (n o 224) d’une surface insuffisante. Interpellée à cet égard, la direction du Bois-Mermet a produit un nouveau rapport sur les conditions de détention de l’appelant (P. 79), d’où il ressort que, depuis le jugement de première instance, il est effectivement demeuré dans la cellule 224, qui, comme on l’a vu, a une surface individuelle nette à disposition insuffisante, à savoir de moins de 4 m 2 . Il faut ainsi tenir compte de 146 jours pour la période entre le 15 avril 2022 et la date du présent jugement, qu’il se justifie d’indemniser à raison de 1 jour pour 4, ce qui revient à déduire 37 jours de la peine à laquelle l’appelant a été condamné, pour la réparation du tort moral subi pour la détention exécutée dans des conditions illicites jusqu’au présent jugement. 12. En conclusion, l’appel doit être partiellement admis sur la question de l’indemnisation des conditions de détention. Le jugement entrepris sera donc réformé, dans le sens des considérants qui précèdent, et confirmé pour le surplus. Le défenseur d’office de l’appelant, Me Jean-Nicolas Roud, a produit une liste d’opérations faisant état d’une durée de 15 heures et 50 minutes d’activité (P. 86), dont il n’y a pas lieu de s’écarter, hormis par l’ajout d’une heure pour l’audience d’appel, ce qui revient à une durée totale de 16 heures 50 minutes.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3'030 fr. à titre d’honoraires. A cela s’ajoutent un forfait pour les débours de 2 % (cf. art. 26b TFIP qui renvoie à l'art. 3 bis RAJ), par 60 fr. 60, trois vacations, par 360 fr., ainsi que la TVA sur le tout, au taux de 7,7 %, par 265 fr. 70. Partant, une indemnité d’un montant total de 3'716 fr. 30 sera allouée à Me Jean-Nicolas Roud. Vu l’issue de la cause et dans la mesure où l’appel a été admis sur un point très secondaire, les frais de la procédure d’appel, constitués en l’espèce de l’émolument de jugement, par 3’670 fr. (27 pages et une heure d’audience ; cf. art. 21 al. 1 et 2 TFIP), ainsi que de l’indemnité allouée au défenseur d’office de l’appelant, par 3'716 fr. 30, soit au total par 7'386 fr. 30, seront mis à la charge de l’appelant par neuf dixièmes, soit par 6’647 fr. 65, le solde étant laissé à la charge de l’Etat (art. 428 al. 1 CPP). Le remboursement à l'Etat des neuf dixièmes de l’indemnité d'office ne sera exigible que pour autant que la situation économique de l’appelant le permette (art. 135 al. 4 CPP).</w:t>
      </w:r>
    </w:p>
    <w:p>
      <w:r>
        <w:rPr>
          <w:b/>
        </w:rPr>
        <w:t>E. 4.1</w:t>
      </w:r>
    </w:p>
    <w:p>
      <w:r>
        <w:t>L’appelant demande que « tout document produit à charge en italien soit traduit par un traducteur officiel et non par une traduction google approximative ».</w:t>
      </w:r>
    </w:p>
    <w:p>
      <w:r>
        <w:rPr>
          <w:b/>
        </w:rPr>
        <w:t>E. 4.2</w:t>
      </w:r>
    </w:p>
    <w:p>
      <w:r>
        <w:t>La jurisprudence reconnaît de longue date au prévenu – sur la base des garanties conventionnelles et constitutionnelles qui relèvent du droit à un procès équitable (art. 5 par. 2 et 6 par. 3 let. a et e CEDH; art. 32 al. 2 Cst. ; cf Mahon, in : Jeanneret/Kuhn/Perrier Depeursinge (édit.), Commentaire romand, Code de procédure pénale suisse, 2 e éd., Bâle 2019, nn. 7 et 15 ad art. 68 CPP ; Urwyler, in : Niggli/Heer/Wiprächtiger (éd.), Basler Kommentar, Schweizerische Strafprozessordnung, Jugendstrafprozessordnung, Bâle 2014, n. 5 ad art. 68 CPP ; Message du Conseil fédéral, FF 2006 pp. 1057 ss, spéc. p. 1129) – le droit d’être informé dans une langue qu’il comprend et d’une manière détaillée de la nature et de la cause de l’accusation portée contre lui ainsi que des divers actes de la procédure, de recevoir des traductions et, au besoin, de se faire assister d’un interprète officiel (ATF 121 I 196 consid. 5a ; ATF 118 la 462 consid. 2, JdT 1994 IV 160). Ce droit est également consacré par l’art. 68 al. 2, 1 re phrase, CPP, qui prévoit que le contenu essentiel des actes de procédure les plus importants est porté à la connaissance du prévenu oralement ou par écrit dans une langue qu’il comprend, même si celui-ci est assisté d’un défenseur. L’art. 68 al. 2, 2 e phrase, CPP précise que nul ne peut se prévaloir d’un droit à la traduction intégrale de tous les actes de procédure et des pièces du dossier. Cette disposition reflète expressément la pratique des tribunaux, le Tribunal fédéral ayant notamment déjà eu l’occasion de poser que le droit d’être entendu et le droit à un procès équitable ne confèrent en principe pas au justiciable d’exiger qu’un jugement soit intégralement traduit dans sa langue, ou dans une langue qu’il comprend, ou notifié dans une langue autre que celle de la procédure (ATF 118 la 462 consid. 3 ; ATF 115 la 64 consid. 6c ; TF 1P.162/2005 du 12 mai 2005 consid. 2 in fine ; Mahon, op. cit., n. 18 ad art. 68 CPP et la jurisprudence citée ; Message du Conseil fédéral précité, p. 1129 ; Brüschweiler, in : Donatsch/ Hansjakob/Lieber (éd.), Kommentar zur Schweizerischen Strafprozessordnung, 3 e éd., Zurich 2020, n. 4 ad art. 68 CPP). Conformément à l’art. 68 al. 1 CPP, c’est à la direction de la procédure – soit au Ministère public, jusqu’à la décision de classement ou la mise en accusation (art. 61 let. a CPP) – qu’il appartient de faire appel à un traducteur ou un interprète lorsqu’une telle mesure s’avère nécessaire (Mahon in : Jeanneret/Kuhn/Perrier Depeursinge (édit.), op. cit., nn. 9 et 14 ad art. 68 CPP). Elle le fait par un mandat en principe écrit (cf. art. 184 CPP, applicable par analogie selon l’art. 68 al. 5 CPP ; Mahon in : Jeanneret/Kuhn/Perrier Depeursinge (édit.), op. cit., n. 23 ad art. 68 CPP). Il incombe au prévenu, respectivement à son défenseur, d’en faire la demande en temps utile à la direction de la procédure (ATF 118 Ia 462 consid. 2b in limine ; ATF 115 Ia 64 consid. 6c ; Urwyler, op. cit., n. 8 ad art. 68 CPP). Concernant en particulier la traduction des jugements et autres prononcés, c’est à l’intéressé qu’il appartient, en principe, de faire traduire dans sa langue maternelle ou dans une langue qu’il connaît les écrits que lui adresse l’autorité judiciaire (ATF 145 IV 197 consid. 1.3.3). Il lui est également loisible de recourir à un interprète pour instruire son défenseur quant à l’exercice des voies de droit ( idem ; ATF 118 Ia 462 consid. 3a et 2b/bb), en en faisant préalablement la demande à la direction de la procédure (ATF 115 la 64 consid. 6c).</w:t>
      </w:r>
    </w:p>
    <w:p>
      <w:r>
        <w:rPr>
          <w:b/>
        </w:rPr>
        <w:t>E. 4.3</w:t>
      </w:r>
    </w:p>
    <w:p>
      <w:r>
        <w:t>L’appelant n’indique pas à quel document il fait référence. Il s’agit sans doute des deux auditions de U.________ et des jugements rendus en première instance et en appel contre celui-ci (P. 51, 53, 64). Le dossier comporte aussi un rapport d’arrestation et sa traduction (P. 49 et 52). Un rapport scientifique n’est également pas traduit (P. 50). Si les traductions au dossier sont vraisemblablement des produits d’un logiciel du type de celui proposé par Google, dans un français plus qu’approximatif, le contenu des propos est toutefois compréhensible et l’appelant ne prétend pas qu’il y aurait des erreurs ou des contresens déterminants le concernant. Il s’ensuit que cette requête toute générale et non motivée doit être rejetée.</w:t>
      </w:r>
    </w:p>
    <w:p>
      <w:r>
        <w:rPr>
          <w:b/>
        </w:rPr>
        <w:t>E. 5.1</w:t>
      </w:r>
    </w:p>
    <w:p>
      <w:r>
        <w:t>Le prévenu conteste une partie des faits, plus précisément, dans le cas 1.1, avoir remis de l’héroïne (admettant le trafic de cocaïne), ainsi que le cas 1.2. Dans le cas 1.1, il aurait été condamné sur la seule base de la mise en cause de V.________ « qui n’aurait en définitive pas vu l’infraction ». Dans le cas 1.2, le fait qu’il connaisse vaguement U.________ ne constituerait pas une preuve de culpabilité. Celui-ci avait été jugé non crédible par les juges tessinois, de sorte que sa mise en cause serait insuffisante. Il estime que, dans le cas contraire, les autorités tessinoises l’auraient également jugé. Il n’y aurait rien au dossier sur son rôle dans cette affaire, en particulier aucune trace de contacts téléphoniques entre les intéressés. Il n’aurait au demeurant pas les moyens de commanditer une livraison d’une telle ampleur. Il fait encore valoir que, dans les deux cas contestés, on n’aurait pas trouvé son ADN sur la drogue.</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précité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précité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précité consid. 3.1 ; TF 6B_802/2021 du 10 février 2022 consid. 1.1 et les références citées).</w:t>
      </w:r>
    </w:p>
    <w:p>
      <w:r>
        <w:rPr>
          <w:b/>
        </w:rPr>
        <w:t>E. 5.3</w:t>
      </w:r>
    </w:p>
    <w:p>
      <w:r>
        <w:t>Relevons tout d’abord qu’il n’est pas contesté qu’en un peu moins d’un an, le prévenu a envoyé 18'772 fr. en Albanie. Il semble donc qu’il avait les moyens de financer un large trafic d’héroïne. La mise en cause de U.________, qui indique notamment s’être rendu chez le prévenu en Suisse alémanique, est corroborée par les photos prises de leur rencontre, et par le fait que le numéro de téléphone attribué par U.________ au commanditaire a été trouvé en possession du prévenu. Notons que la mise en cause n’a de loin pas été obtenue en une seule audition. Il a fallu confronter l’intéressé aux preuves pour qu’il admette enfin, d’une part qu’il savait ce qu’il transportait, d’autre part que son mandant et le prévenu ne faisaient qu’un. Il ne s’agissait donc pas de désigner n’importe qui. La mise en cause de U.________ est aussi confortée par les déclarations de V.________, qui présente le prévenu comme un trafiquant d’héroïne important. U.________ n’a pas été jugé crédible lorsqu’il niait sa propre implication. Enfin, les autorités tessinoises n’avaient aucune raison de poursuivre le prévenu, puisque celui-ci était déjà en détention dans le canton de Vaud, où une enquête avait été ouverte contre lui. En ce qui concerne le cas 1.1, il y a aussi des indices suffisants de culpabilité, indépendamment de la mise en cause de V.________ : le fait que O.________ et V.________ aient été interpellés ensemble alors que les stupéfiants venaient de leur être remis ; le fait que la cocaïne portait l’ADN du prévenu ; le fait que ce dernier était bien, aussi, un trafiquant de cocaïne. V.________ a en outre confirmé en appel qu’ils n’avaient rencontré aucun autre fournisseur avant leur arrestation et que c’était bien le prévenu qui avait fourni tant l’héroïne que la cocaïne, ce qui est corroboré par le fait que les deux substances se trouvaient dans le même sac. Le témoin a expliqué à cet égard que c’était dans un premier temps O.________ – qui avait réceptionné la marchandise – qui lui avait indiqué qui était leur fournisseur, qu’il avait vu le prévenu de profil à [...], le 18 février 2021, et que les preuves que lui avait présentées la police l’avait convaincu qu’il s’agissait bien du prévenu. Quant au prévenu, il n’est pas crédible. Il a nié tout ce qu’il pouvait, aussi longtemps qu’il le pouvait. Il a d’abord affirmé que U.________ était un parfait inconnu pour lui, avant de soutenir qu’il l’aurait hébergé comme compatriote, juste une fois. Il a dans un premier temps nié tout trafic de stupéfiants, avant d’admettre les éléments établis par la présence de son ADN sur la marchandise. Au vu des éléments précités, il ne subsiste aucun doute sur la culpabilité de l’appelant dans les deux cas contestés.</w:t>
      </w:r>
    </w:p>
    <w:p>
      <w:r>
        <w:rPr>
          <w:b/>
        </w:rPr>
        <w:t>E. 6.1</w:t>
      </w:r>
    </w:p>
    <w:p>
      <w:r>
        <w:t>L’appelant estime que le cas 1.2 aurait dû être jugé par les autorités tessinoises.</w:t>
      </w:r>
    </w:p>
    <w:p>
      <w:r>
        <w:rPr>
          <w:b/>
        </w:rPr>
        <w:t>E. 6.2</w:t>
      </w:r>
    </w:p>
    <w:p>
      <w:r>
        <w:t>Si l’infraction a été commise ou si son résultat s’est produit en différents lieux, l’autorité compétente est celle du lieu où les premiers actes de poursuite ont été entrepris (art. 31 al. 2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 (art. 34 al. 1 CPP). Cette gravité s’apprécie selon le maximum de la sanction et non selon ce que le prévenu encourt concrètement compte tenu des circonstances et de sa situation personnelle. C’est donc la peine abstraite qui entre en considération (Moreillon/Parein-Reymond, Petit Commentaire, Code de procédure pénale, 2 e éd., Bâle 2016, n. 4 ad art. 34).</w:t>
      </w:r>
    </w:p>
    <w:p>
      <w:r>
        <w:rPr>
          <w:b/>
        </w:rPr>
        <w:t>E. 6.3</w:t>
      </w:r>
    </w:p>
    <w:p>
      <w:r>
        <w:t>En l’espèce, le prévenu s’est rendu coupable d’infraction grave à la LStup. Les actes qui lui sont reprochés comme leur résultat se sont produits en différents endroits. Il s’est aussi rendu coupable de blanchiment d’argent et d’infraction à la LEI, dont la peine menace est inférieure. Dans ces circonstances, il était logique que, dans la mesure où le Ministère public vaudois Strada avait ouvert une procédure contre le prévenu pour infraction grave à la LStup, il traite aussi les faits ressortant de l’enquête tessinoise.</w:t>
      </w:r>
    </w:p>
    <w:p>
      <w:r>
        <w:rPr>
          <w:b/>
        </w:rPr>
        <w:t>E. 7</w:t>
      </w:r>
    </w:p>
    <w:p>
      <w:r>
        <w:t>L’appelant soutient que les frais mis à sa charge devraient être réduits pour tenir compte de sa libération partielle. Il demande le détail des frais « qui seront mis à sa charge ». Cette conclusion devient sans objet, sa condamnation étant intégralement confirmée.</w:t>
      </w:r>
    </w:p>
    <w:p>
      <w:r>
        <w:rPr>
          <w:b/>
        </w:rPr>
        <w:t>E. 8.1</w:t>
      </w:r>
    </w:p>
    <w:p>
      <w:r>
        <w:t>L’appelant estime qu’après mise à l’écart des cas contestés, sa peine ne devrait pas dépasser 2 ans et devrait être assortie du sursis. En toute hypothèse, la peine de 6 ans pour infraction grave à la LStup serait disproportionnée et injustifiée. Elle n’aurait pas été expliquée et ne reposerait sur aucune motivation.</w:t>
      </w:r>
    </w:p>
    <w:p>
      <w:r>
        <w:rPr>
          <w:b/>
        </w:rPr>
        <w:t>E. 8.2.1</w:t>
      </w:r>
    </w:p>
    <w:p>
      <w:r>
        <w:t>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références citées ; TF 6B_631/2021 du 7 février 2022 consid. 1.1). Le juge dispose d'un large pouvoir d'appréciation dans la fixation de la peine. Sa décision sur ce point ne viole le droit fédéral que s'il est sorti du cadre légal, s'il s'est fondé sur des critères étrangers à l'art. 47 CP, s'il a omis de prendre en considération des éléments prévus par cette disposition ou s'il a abusé de son pouvoir d'appréciation en fixant une peine exagérément sévère ou excessivement clémente (ATF 144 IV 313 consid. 1.2 ; TF 6B_1463/2019 précité).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(ATF 121 IV 193 consid. 2b/aa ; TF 6B_101/2021 du 22 décembre 2021 consid. 3.2). S'agissant de la méthamphétamine, il n'est pas contraire au droit fédéral de se référer à l'étude réalisée en 2010 par la Société suisse de médecine légale, qui recommande de fixer ce seuil à 12 g de substance pure (ATF 145 IV 312 consid. 2.2 à 2.4).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a agir, le juge doit distinguer le cas de celui qui est lui-même toxicomane et agit pour financer sa propre consommation de celui qui participe à un trafic uniquement poussé par l’appât du gain (TF 6B_101/2021 du 22 décembre 2021 consid. 3.2 ; TF 6B_227/2020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6B_965/2018 du 15 novembre 2018 consid. 3.3).</w:t>
      </w:r>
    </w:p>
    <w:p>
      <w:r>
        <w:rPr>
          <w:b/>
        </w:rPr>
        <w:t>E. 8.2.2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8.3</w:t>
      </w:r>
    </w:p>
    <w:p>
      <w:r>
        <w:t>La motivation des premiers juges figure en pages 12 et 13 du jugement. Elle est certes expéditive, mais conforme aux réquisits ; le prévenu ne démontre pas qu’un élément important aurait été omis ou qu’un élément non pertinent aurait été pris en compte. En bref, le prévenu a déjà un lourd antécédent de trafic en Albanie. Il a recommencé, motivé par le seul besoin d’argent, en trafiquant de très grandes quantités de substances dangereuses, pas en vendant laborieusement une boulette après l’autre. Il s’est diversifié en vendant cocaïne et héroïne, au détriment du bien juridiquement protégé important qu’est la santé publique, sans éprouver une once d’empathie pour les consommateurs de stupéfiants. Il avait un téléphone comportant une application de cryptage ultra-sécurisé utilisée par des groupes criminels (P. 44 p. 3). Il n’est donc pas un débutant, mais un redoutable professionnel. U.________ a d’ailleurs peur de lui. Le prévenu a gagné des sommes importantes par son activité criminelle, en un peu moins d’un an. Il est aussi reconnu coupable d’un blanchiment d’argent de quelque 18'000 fr. et d’un séjour illégal destiné uniquement à l’exercice du trafic de stupéfiants. Vu le lien étroit entre ces infractions, toutes doivent être sanctionnées d’une peine privative de liberté. La peine de six ans pour l’infraction grave à la LStup, alourdie de six mois pour le blanchiment d’argent et l’infraction à la LEI, par l’effet du concours, ce qui totalise 6,5 ans, est adéquate, et par définition incompatible avec le sursis. L’appelant est en outre mal venu de plaider une peine trop lourde, quand U.________ a été condamné à 5,5 ans pour le seul transport faisant l’objet, dans la présente cause, du cas 1.2. Sa peine sera ainsi confirmée.</w:t>
      </w:r>
    </w:p>
    <w:p>
      <w:r>
        <w:rPr>
          <w:b/>
        </w:rPr>
        <w:t>E. 9.1</w:t>
      </w:r>
    </w:p>
    <w:p>
      <w:r>
        <w:t>Le prévenu conteste la durée de son expulsion et l’inscription de celle-ci au SIS, qui seraient disproportionnées.</w:t>
      </w:r>
    </w:p>
    <w:p>
      <w:r>
        <w:rPr>
          <w:b/>
        </w:rPr>
        <w:t>E. 9.2.1</w:t>
      </w:r>
    </w:p>
    <w:p>
      <w:r>
        <w:t>Le juge doit fixer la durée de l'expulsion dans la fourchette prévue de cinq à quinze ans, en tenant compte notamment du principe de la proportionnalité (Message du Conseil fédéral concernant une modification du code pénal et du code pénal militaire du 26 juin 2013, FF 2013 pp. 5373 ss, spéc. p. 5416). Le critère d’appréciation déterminant, lorsqu’il s’agit de se prononcer sur la durée d’une mesure d’expulsion, est la nécessité de protéger la société pendant un certain temps, en fonction de l’importance du bien juridique menacé, respectivement de la gravité de l’atteinte qui pourrait y être portée, de la dangerosité de l’auteur, du risque qu’il récidive, de la gravité des infractions qu’il est susceptible de commettre à l’avenir et des liens d'attache avec le pays d'accueil, à l’exclusion de toute considération relative à la gravité de la faute commise (TF 6B_861/2018 du 24 octobre 2018 consid. 2.6 ; TF 6B_1043/2017 du</w:t>
      </w:r>
    </w:p>
    <w:p>
      <w:r>
        <w:rPr>
          <w:b/>
        </w:rPr>
        <w:t>E. 9.2.2</w:t>
      </w:r>
    </w:p>
    <w:p>
      <w:r>
        <w:t>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État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9.3</w:t>
      </w:r>
    </w:p>
    <w:p>
      <w:r>
        <w:t>En l’espèce, le prévenu est albanais. Il est marié et a des enfants mineurs, toute sa famille vivant en Albanie. Il n’a aucun lien avec la Suisse, où il n’est venu que pour trafiquer, par besoin d’argent. En première instance, il a déclaré (jugement, p. 4) qu’il ne reviendrait plus jamais en Suisse ; il ne fait ainsi valoir aucun motif pour limiter la durée de son expulsion. Les faits commis sont en outre graves, l’appelant ayant mis en danger la santé de très nombreuses personnes. La durée de 15 ans d’expulsion est ainsi justifiée, compte tenu de l’intérêt majeur à éloigner l’appelant de notre pays. L’inscription au SIS se justifie également, dès lors que le prévenu a déjà été condamné dans son pays d’origine pour le même motif et qu’il est à craindre qu’il ne récidive dans un autre pays d’Europe, ce qui représente encore une fois une menace pour la santé et l’ordre public. Le principe de proportionnalité est donc respecté. 10. Le maintien en détention de Z.________ à titre de sûreté doit être ordonné en raison des risques de fuite et de réitération. En effet, celui-ci pourrait se soustraire à l’exécution de sa peine en retournant dans son pays d’origine ou en disparaissant dans la clandestinité. Cette détention permettra donc de garantir tant l’exécution de la peine privative de liberté que l’expulsion prononcée. De plus, une première condamnation en Albanie pour trafic de stupéfiants n’a eu aucun effet sur le condamné pour éviter qu’il récidive en Suisse. Il est donc également nécessaire de le maintenir en détention pour ce motif. 11. 11.1 Le prévenu fait valoir que le tribunal se serait trompé dans le décompte des jours passés en détention dans des conditions illicites, en retenant qu’il avait occupé la cellule 224 depuis « la date de l’ordonnance du 26 avril 2022 », alors qu’il y était depuis le 23 novembre 2021. 11.2 11.2.1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références citées ; TF 1B_325/2017 du 14 novembre 2017 consid.</w:t>
      </w:r>
    </w:p>
    <w:p>
      <w:r>
        <w:rPr>
          <w:b/>
        </w:rPr>
        <w:t>E. 14</w:t>
      </w:r>
    </w:p>
    <w:p>
      <w:r>
        <w:t>août 2018 consid. 3.1.3 ; Grodecki/Jeanneret, L’expulsion judiciaire in : Droit pénal – évolutions en 2018, Bâle 2017, n. 32, 40, 41, 42). La durée de l’expulsion doit davantage être fixée en fonction de l’importance de l’intérêt public à l’expulsion du condamné et de la proportionnalité de l’atteinte à sa vie privée qu’en comparaison avec la peine prononcée (TF 6B_242/2019 du 18 mars 2019 consid.1.3). En particulier, l’expulsion d’un auteur d'infractions graves à la LStup, mettant en danger la santé de nombreuses personnes, doit permettre de protéger la société et l'ordre public (cf. not. TF 6B_93/2021 du 6 octobre 2021 consid. 5.1 ; TF 6B_894/2020 du 26 novembre 2020 consid. 3.3 et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